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BED6C" w14:textId="6FD60CDF" w:rsidR="0087780F" w:rsidRPr="00E86F6D" w:rsidRDefault="0087780F" w:rsidP="008778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Garamond"/>
          <w:b/>
          <w:color w:val="FF0000"/>
          <w:sz w:val="20"/>
          <w:szCs w:val="20"/>
          <w:u w:val="single"/>
          <w:lang w:val="es-MX"/>
        </w:rPr>
      </w:pPr>
      <w:r w:rsidRPr="00B210B5">
        <w:rPr>
          <w:rFonts w:eastAsia="Garamond"/>
          <w:b/>
          <w:sz w:val="20"/>
          <w:szCs w:val="20"/>
          <w:u w:val="single"/>
          <w:lang w:val="es-MX"/>
        </w:rPr>
        <w:t xml:space="preserve">Actividad didáctica </w:t>
      </w:r>
      <w:r>
        <w:rPr>
          <w:rFonts w:eastAsia="Garamond"/>
          <w:b/>
          <w:sz w:val="20"/>
          <w:szCs w:val="20"/>
          <w:u w:val="single"/>
          <w:lang w:val="es-MX"/>
        </w:rPr>
        <w:t>7</w:t>
      </w:r>
      <w:r w:rsidR="00E86F6D">
        <w:rPr>
          <w:rFonts w:eastAsia="Garamond"/>
          <w:b/>
          <w:sz w:val="20"/>
          <w:szCs w:val="20"/>
          <w:u w:val="single"/>
          <w:lang w:val="es-MX"/>
        </w:rPr>
        <w:t xml:space="preserve"> </w:t>
      </w:r>
      <w:r w:rsidR="00E86F6D" w:rsidRPr="00E86F6D">
        <w:rPr>
          <w:rFonts w:eastAsia="Garamond"/>
          <w:b/>
          <w:color w:val="FF0000"/>
          <w:sz w:val="20"/>
          <w:szCs w:val="20"/>
          <w:u w:val="single"/>
          <w:lang w:val="es-MX"/>
        </w:rPr>
        <w:t xml:space="preserve">SELECCIONAR </w:t>
      </w:r>
    </w:p>
    <w:p w14:paraId="3E59EF9A" w14:textId="1FC51637" w:rsidR="00702401" w:rsidRPr="00702401" w:rsidRDefault="00702401" w:rsidP="007024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sz w:val="20"/>
          <w:szCs w:val="20"/>
          <w:lang w:val="es-MX"/>
        </w:rPr>
      </w:pPr>
      <w:r w:rsidRPr="00702401">
        <w:rPr>
          <w:b/>
          <w:bCs/>
          <w:sz w:val="20"/>
          <w:szCs w:val="20"/>
          <w:lang w:val="es-MX"/>
        </w:rPr>
        <w:t>Titulo.</w:t>
      </w:r>
      <w:r w:rsidR="005A4AF2">
        <w:rPr>
          <w:b/>
          <w:bCs/>
          <w:sz w:val="20"/>
          <w:szCs w:val="20"/>
          <w:lang w:val="es-MX"/>
        </w:rPr>
        <w:t xml:space="preserve"> </w:t>
      </w:r>
      <w:r w:rsidR="005A4AF2" w:rsidRPr="005A4AF2">
        <w:rPr>
          <w:sz w:val="20"/>
          <w:szCs w:val="20"/>
          <w:lang w:val="es-MX"/>
        </w:rPr>
        <w:t>Abogando por los derechos</w:t>
      </w:r>
    </w:p>
    <w:p w14:paraId="15B81798" w14:textId="1523EAA7" w:rsidR="00702401" w:rsidRPr="00E86F6D" w:rsidRDefault="00702401" w:rsidP="007024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  <w:lang w:val="es-MX"/>
        </w:rPr>
      </w:pPr>
      <w:r w:rsidRPr="00702401">
        <w:rPr>
          <w:b/>
          <w:bCs/>
          <w:sz w:val="20"/>
          <w:szCs w:val="20"/>
          <w:lang w:val="es-MX"/>
        </w:rPr>
        <w:t xml:space="preserve">Objetivo. </w:t>
      </w:r>
      <w:r w:rsidR="00E86F6D">
        <w:rPr>
          <w:b/>
          <w:bCs/>
          <w:sz w:val="20"/>
          <w:szCs w:val="20"/>
          <w:lang w:val="es-MX"/>
        </w:rPr>
        <w:t xml:space="preserve"> </w:t>
      </w:r>
      <w:r w:rsidR="00E86F6D" w:rsidRPr="00E86F6D">
        <w:rPr>
          <w:sz w:val="20"/>
          <w:szCs w:val="20"/>
          <w:lang w:val="es-MX"/>
        </w:rPr>
        <w:t xml:space="preserve">Proporcionar a los participantes un entendimiento práctico sobre cómo identificar y responder a diferentes barreras administrativas y de atención que enfrentan las personas </w:t>
      </w:r>
      <w:proofErr w:type="spellStart"/>
      <w:r w:rsidR="00E86F6D" w:rsidRPr="00E86F6D">
        <w:rPr>
          <w:sz w:val="20"/>
          <w:szCs w:val="20"/>
          <w:lang w:val="es-MX"/>
        </w:rPr>
        <w:t>LGBTIQ</w:t>
      </w:r>
      <w:proofErr w:type="spellEnd"/>
      <w:r w:rsidR="00E86F6D" w:rsidRPr="00E86F6D">
        <w:rPr>
          <w:sz w:val="20"/>
          <w:szCs w:val="20"/>
          <w:lang w:val="es-MX"/>
        </w:rPr>
        <w:t>+ y con identidades de género no hegemónicas en el sistema de salud.</w:t>
      </w:r>
    </w:p>
    <w:p w14:paraId="7470737A" w14:textId="77777777" w:rsidR="00702401" w:rsidRPr="00E86F6D" w:rsidRDefault="00702401" w:rsidP="007024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  <w:lang w:val="es-MX"/>
        </w:rPr>
      </w:pPr>
    </w:p>
    <w:p w14:paraId="57B5C0FB" w14:textId="77777777" w:rsidR="00702401" w:rsidRDefault="00702401" w:rsidP="007024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  <w:lang w:val="es-MX"/>
        </w:rPr>
      </w:pPr>
    </w:p>
    <w:p w14:paraId="2FE42D38" w14:textId="77777777" w:rsidR="00A27416" w:rsidRPr="00A27416" w:rsidRDefault="00A27416" w:rsidP="00A274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  <w:lang w:val="es-MX"/>
        </w:rPr>
      </w:pPr>
    </w:p>
    <w:p w14:paraId="28A008C0" w14:textId="5FA78007" w:rsidR="0087780F" w:rsidRPr="00B210B5" w:rsidRDefault="00A27416" w:rsidP="00A274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0"/>
          <w:szCs w:val="20"/>
          <w:lang w:val="es-MX"/>
        </w:rPr>
      </w:pPr>
      <w:r w:rsidRPr="00A27416">
        <w:rPr>
          <w:sz w:val="20"/>
          <w:szCs w:val="20"/>
          <w:lang w:val="es-MX"/>
        </w:rPr>
        <w:t xml:space="preserve">A continuación encontrará algunas premisas que pueden ser manifestadas por personas </w:t>
      </w:r>
      <w:proofErr w:type="spellStart"/>
      <w:r w:rsidRPr="00A27416">
        <w:rPr>
          <w:sz w:val="20"/>
          <w:szCs w:val="20"/>
          <w:lang w:val="es-MX"/>
        </w:rPr>
        <w:t>LGBTIQ</w:t>
      </w:r>
      <w:proofErr w:type="spellEnd"/>
      <w:r w:rsidRPr="00A27416">
        <w:rPr>
          <w:sz w:val="20"/>
          <w:szCs w:val="20"/>
          <w:lang w:val="es-MX"/>
        </w:rPr>
        <w:t>+ y con orientaciones e identidades de género no hegemónicas al recibir el proceso de atención desde lo administrativo o asistencial. De acuerdo con las premisas, usted podrá indicar qué tipo de participación le sugiere a la persona.</w:t>
      </w:r>
    </w:p>
    <w:p w14:paraId="1E7C704A" w14:textId="77777777" w:rsidR="0087780F" w:rsidRPr="00B210B5" w:rsidRDefault="0087780F" w:rsidP="008778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  <w:lang w:val="es-MX"/>
        </w:rPr>
      </w:pPr>
    </w:p>
    <w:tbl>
      <w:tblPr>
        <w:tblW w:w="939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4605"/>
        <w:gridCol w:w="1202"/>
        <w:gridCol w:w="1134"/>
        <w:gridCol w:w="1276"/>
        <w:gridCol w:w="1177"/>
      </w:tblGrid>
      <w:tr w:rsidR="0087780F" w:rsidRPr="00B210B5" w14:paraId="77871E37" w14:textId="77777777" w:rsidTr="0063121E">
        <w:tc>
          <w:tcPr>
            <w:tcW w:w="4605" w:type="dxa"/>
            <w:vMerge w:val="restart"/>
          </w:tcPr>
          <w:p w14:paraId="26EC85C0" w14:textId="77777777" w:rsidR="0087780F" w:rsidRPr="00B210B5" w:rsidRDefault="0087780F" w:rsidP="0063121E">
            <w:pPr>
              <w:spacing w:line="240" w:lineRule="auto"/>
              <w:jc w:val="center"/>
              <w:rPr>
                <w:rFonts w:eastAsia="Garamond"/>
                <w:b/>
                <w:sz w:val="20"/>
                <w:szCs w:val="20"/>
                <w:lang w:val="es-MX"/>
              </w:rPr>
            </w:pPr>
          </w:p>
          <w:p w14:paraId="5AD3D96F" w14:textId="77777777" w:rsidR="0087780F" w:rsidRPr="00B210B5" w:rsidRDefault="00A27416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sdt>
              <w:sdtPr>
                <w:rPr>
                  <w:sz w:val="20"/>
                  <w:szCs w:val="20"/>
                  <w:lang w:val="es-MX"/>
                </w:rPr>
                <w:tag w:val="goog_rdk_517"/>
                <w:id w:val="-1203636911"/>
              </w:sdtPr>
              <w:sdtEndPr/>
              <w:sdtContent/>
            </w:sdt>
            <w:r w:rsidR="0087780F" w:rsidRPr="00B210B5">
              <w:rPr>
                <w:rFonts w:eastAsia="Garamond"/>
                <w:sz w:val="20"/>
                <w:szCs w:val="20"/>
                <w:lang w:val="es-MX"/>
              </w:rPr>
              <w:t>Premisa</w:t>
            </w:r>
          </w:p>
        </w:tc>
        <w:tc>
          <w:tcPr>
            <w:tcW w:w="4789" w:type="dxa"/>
            <w:gridSpan w:val="4"/>
          </w:tcPr>
          <w:p w14:paraId="0C496A7E" w14:textId="77777777" w:rsidR="0087780F" w:rsidRPr="00B210B5" w:rsidRDefault="0087780F" w:rsidP="0063121E">
            <w:pPr>
              <w:spacing w:line="240" w:lineRule="auto"/>
              <w:jc w:val="center"/>
              <w:rPr>
                <w:rFonts w:eastAsia="Garamond"/>
                <w:b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Tipo de acción sugerida</w:t>
            </w:r>
          </w:p>
        </w:tc>
      </w:tr>
      <w:tr w:rsidR="0087780F" w:rsidRPr="00B210B5" w14:paraId="187219C2" w14:textId="77777777" w:rsidTr="0063121E">
        <w:tc>
          <w:tcPr>
            <w:tcW w:w="4605" w:type="dxa"/>
            <w:vMerge/>
          </w:tcPr>
          <w:p w14:paraId="159F17E6" w14:textId="77777777" w:rsidR="0087780F" w:rsidRPr="00B210B5" w:rsidRDefault="0087780F" w:rsidP="00631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Garamond"/>
                <w:b/>
                <w:sz w:val="20"/>
                <w:szCs w:val="20"/>
                <w:lang w:val="es-MX"/>
              </w:rPr>
            </w:pPr>
          </w:p>
        </w:tc>
        <w:tc>
          <w:tcPr>
            <w:tcW w:w="2336" w:type="dxa"/>
            <w:gridSpan w:val="2"/>
            <w:tcBorders>
              <w:right w:val="single" w:sz="12" w:space="0" w:color="1F497D"/>
            </w:tcBorders>
            <w:shd w:val="clear" w:color="auto" w:fill="DBE5F1"/>
          </w:tcPr>
          <w:p w14:paraId="13648609" w14:textId="77777777" w:rsidR="0087780F" w:rsidRPr="00B210B5" w:rsidRDefault="0087780F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proofErr w:type="spellStart"/>
            <w:r w:rsidRPr="00B210B5">
              <w:rPr>
                <w:rFonts w:eastAsia="Garamond"/>
                <w:sz w:val="20"/>
                <w:szCs w:val="20"/>
                <w:lang w:val="es-MX"/>
              </w:rPr>
              <w:t>SIAU</w:t>
            </w:r>
            <w:proofErr w:type="spellEnd"/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left w:val="single" w:sz="12" w:space="0" w:color="1F497D"/>
            </w:tcBorders>
            <w:shd w:val="clear" w:color="auto" w:fill="DBE5F1"/>
          </w:tcPr>
          <w:p w14:paraId="1276B295" w14:textId="77777777" w:rsidR="0087780F" w:rsidRPr="00B210B5" w:rsidRDefault="0087780F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Buzón de sugerencia</w:t>
            </w:r>
          </w:p>
        </w:tc>
        <w:tc>
          <w:tcPr>
            <w:tcW w:w="1177" w:type="dxa"/>
            <w:vMerge w:val="restart"/>
            <w:tcBorders>
              <w:left w:val="single" w:sz="12" w:space="0" w:color="1F497D"/>
            </w:tcBorders>
            <w:shd w:val="clear" w:color="auto" w:fill="DBE5F1"/>
          </w:tcPr>
          <w:p w14:paraId="6EADB127" w14:textId="77777777" w:rsidR="0087780F" w:rsidRPr="00B210B5" w:rsidRDefault="0087780F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Tutela </w:t>
            </w:r>
          </w:p>
        </w:tc>
      </w:tr>
      <w:tr w:rsidR="0087780F" w:rsidRPr="00B210B5" w14:paraId="6CB926FC" w14:textId="77777777" w:rsidTr="0063121E">
        <w:tc>
          <w:tcPr>
            <w:tcW w:w="4605" w:type="dxa"/>
            <w:vMerge/>
          </w:tcPr>
          <w:p w14:paraId="6C52F33A" w14:textId="77777777" w:rsidR="0087780F" w:rsidRPr="00B210B5" w:rsidRDefault="0087780F" w:rsidP="00631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1202" w:type="dxa"/>
            <w:tcBorders>
              <w:right w:val="single" w:sz="12" w:space="0" w:color="1F497D"/>
            </w:tcBorders>
          </w:tcPr>
          <w:p w14:paraId="4549EA69" w14:textId="77777777" w:rsidR="0087780F" w:rsidRPr="00B210B5" w:rsidRDefault="0087780F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Queja </w:t>
            </w:r>
          </w:p>
        </w:tc>
        <w:tc>
          <w:tcPr>
            <w:tcW w:w="1134" w:type="dxa"/>
            <w:tcBorders>
              <w:right w:val="single" w:sz="12" w:space="0" w:color="1F497D"/>
            </w:tcBorders>
          </w:tcPr>
          <w:p w14:paraId="3FB29F2D" w14:textId="77777777" w:rsidR="0087780F" w:rsidRPr="00B210B5" w:rsidRDefault="0087780F" w:rsidP="0063121E">
            <w:pPr>
              <w:spacing w:line="240" w:lineRule="auto"/>
              <w:jc w:val="center"/>
              <w:rPr>
                <w:rFonts w:eastAsia="Garamond"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>Reclamo</w:t>
            </w:r>
          </w:p>
        </w:tc>
        <w:tc>
          <w:tcPr>
            <w:tcW w:w="1276" w:type="dxa"/>
            <w:vMerge/>
            <w:tcBorders>
              <w:left w:val="single" w:sz="12" w:space="0" w:color="1F497D"/>
            </w:tcBorders>
            <w:shd w:val="clear" w:color="auto" w:fill="DBE5F1"/>
          </w:tcPr>
          <w:p w14:paraId="429163CE" w14:textId="77777777" w:rsidR="0087780F" w:rsidRPr="00B210B5" w:rsidRDefault="0087780F" w:rsidP="00631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Garamond"/>
                <w:sz w:val="20"/>
                <w:szCs w:val="20"/>
                <w:lang w:val="es-MX"/>
              </w:rPr>
            </w:pPr>
          </w:p>
        </w:tc>
        <w:tc>
          <w:tcPr>
            <w:tcW w:w="1177" w:type="dxa"/>
            <w:vMerge/>
            <w:tcBorders>
              <w:left w:val="single" w:sz="12" w:space="0" w:color="1F497D"/>
            </w:tcBorders>
            <w:shd w:val="clear" w:color="auto" w:fill="DBE5F1"/>
          </w:tcPr>
          <w:p w14:paraId="5EAEA33C" w14:textId="77777777" w:rsidR="0087780F" w:rsidRPr="00B210B5" w:rsidRDefault="0087780F" w:rsidP="006312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Garamond"/>
                <w:sz w:val="20"/>
                <w:szCs w:val="20"/>
                <w:lang w:val="es-MX"/>
              </w:rPr>
            </w:pPr>
          </w:p>
        </w:tc>
      </w:tr>
      <w:tr w:rsidR="0087780F" w:rsidRPr="00B210B5" w14:paraId="49016362" w14:textId="77777777" w:rsidTr="0063121E">
        <w:tc>
          <w:tcPr>
            <w:tcW w:w="4605" w:type="dxa"/>
          </w:tcPr>
          <w:p w14:paraId="16198ADC" w14:textId="77777777" w:rsidR="0087780F" w:rsidRPr="00B210B5" w:rsidRDefault="0087780F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Inoportunidad en la atención: demasiados procesos administrativos que retrasan la atención. </w:t>
            </w:r>
          </w:p>
        </w:tc>
        <w:tc>
          <w:tcPr>
            <w:tcW w:w="1202" w:type="dxa"/>
            <w:tcBorders>
              <w:right w:val="single" w:sz="12" w:space="0" w:color="1F497D"/>
            </w:tcBorders>
          </w:tcPr>
          <w:p w14:paraId="6CF0D064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B210B5">
              <w:rPr>
                <w:sz w:val="20"/>
                <w:szCs w:val="20"/>
                <w:lang w:val="es-MX"/>
              </w:rPr>
              <w:t>X</w:t>
            </w:r>
          </w:p>
        </w:tc>
        <w:tc>
          <w:tcPr>
            <w:tcW w:w="1134" w:type="dxa"/>
            <w:tcBorders>
              <w:right w:val="single" w:sz="12" w:space="0" w:color="1F497D"/>
            </w:tcBorders>
          </w:tcPr>
          <w:p w14:paraId="6D778E8D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left w:val="single" w:sz="12" w:space="0" w:color="1F497D"/>
            </w:tcBorders>
          </w:tcPr>
          <w:p w14:paraId="1EA4ABBD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177" w:type="dxa"/>
            <w:tcBorders>
              <w:left w:val="single" w:sz="12" w:space="0" w:color="1F497D"/>
            </w:tcBorders>
          </w:tcPr>
          <w:p w14:paraId="2E5D3685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</w:tr>
      <w:sdt>
        <w:sdtPr>
          <w:rPr>
            <w:b/>
            <w:sz w:val="20"/>
            <w:szCs w:val="20"/>
            <w:lang w:val="es-MX"/>
          </w:rPr>
          <w:tag w:val="goog_rdk_519"/>
          <w:id w:val="-1407374683"/>
        </w:sdtPr>
        <w:sdtEndPr/>
        <w:sdtContent>
          <w:tr w:rsidR="0087780F" w:rsidRPr="00B210B5" w14:paraId="18C47C42" w14:textId="77777777" w:rsidTr="0063121E">
            <w:tc>
              <w:tcPr>
                <w:tcW w:w="4605" w:type="dxa"/>
              </w:tcPr>
              <w:sdt>
                <w:sdtPr>
                  <w:rPr>
                    <w:sz w:val="20"/>
                    <w:szCs w:val="20"/>
                    <w:lang w:val="es-MX"/>
                  </w:rPr>
                  <w:tag w:val="goog_rdk_521"/>
                  <w:id w:val="-863523721"/>
                </w:sdtPr>
                <w:sdtEndPr/>
                <w:sdtContent>
                  <w:p w14:paraId="554E82FD" w14:textId="77777777" w:rsidR="0087780F" w:rsidRPr="00B210B5" w:rsidRDefault="00A27416" w:rsidP="0063121E">
                    <w:pPr>
                      <w:spacing w:line="240" w:lineRule="auto"/>
                      <w:jc w:val="both"/>
                      <w:rPr>
                        <w:rFonts w:eastAsia="Garamond"/>
                        <w:sz w:val="20"/>
                        <w:szCs w:val="20"/>
                        <w:lang w:val="es-MX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s-MX"/>
                        </w:rPr>
                        <w:tag w:val="goog_rdk_520"/>
                        <w:id w:val="1899247143"/>
                      </w:sdtPr>
                      <w:sdtEndPr/>
                      <w:sdtContent>
                        <w:r w:rsidR="0087780F" w:rsidRPr="00B210B5">
                          <w:rPr>
                            <w:rFonts w:eastAsia="Garamond"/>
                            <w:sz w:val="20"/>
                            <w:szCs w:val="20"/>
                            <w:lang w:val="es-MX"/>
                          </w:rPr>
                          <w:t>Fallas en la accesibilidad: falta de actualización de las bases de datos de las EPS y de las IPS una vez se ha hecho el cambio de nombre</w:t>
                        </w:r>
                      </w:sdtContent>
                    </w:sdt>
                  </w:p>
                </w:sdtContent>
              </w:sdt>
            </w:tc>
            <w:tc>
              <w:tcPr>
                <w:tcW w:w="1202" w:type="dxa"/>
                <w:tcBorders>
                  <w:right w:val="single" w:sz="12" w:space="0" w:color="1F497D"/>
                </w:tcBorders>
              </w:tcPr>
              <w:sdt>
                <w:sdtPr>
                  <w:rPr>
                    <w:sz w:val="20"/>
                    <w:szCs w:val="20"/>
                    <w:lang w:val="es-MX"/>
                  </w:rPr>
                  <w:tag w:val="goog_rdk_523"/>
                  <w:id w:val="-892273784"/>
                </w:sdtPr>
                <w:sdtEndPr/>
                <w:sdtContent>
                  <w:p w14:paraId="4003FC53" w14:textId="77777777" w:rsidR="0087780F" w:rsidRPr="00B210B5" w:rsidRDefault="00A27416" w:rsidP="0063121E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  <w:lang w:val="es-MX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s-MX"/>
                        </w:rPr>
                        <w:tag w:val="goog_rdk_522"/>
                        <w:id w:val="-1511439268"/>
                      </w:sdtPr>
                      <w:sdtEndPr/>
                      <w:sdtContent/>
                    </w:sdt>
                  </w:p>
                </w:sdtContent>
              </w:sdt>
            </w:tc>
            <w:tc>
              <w:tcPr>
                <w:tcW w:w="1134" w:type="dxa"/>
                <w:tcBorders>
                  <w:right w:val="single" w:sz="12" w:space="0" w:color="1F497D"/>
                </w:tcBorders>
              </w:tcPr>
              <w:sdt>
                <w:sdtPr>
                  <w:rPr>
                    <w:sz w:val="20"/>
                    <w:szCs w:val="20"/>
                    <w:lang w:val="es-MX"/>
                  </w:rPr>
                  <w:tag w:val="goog_rdk_525"/>
                  <w:id w:val="1390453459"/>
                </w:sdtPr>
                <w:sdtEndPr/>
                <w:sdtContent>
                  <w:p w14:paraId="73F3E2E0" w14:textId="77777777" w:rsidR="0087780F" w:rsidRPr="00B210B5" w:rsidRDefault="00A27416" w:rsidP="0063121E">
                    <w:pPr>
                      <w:spacing w:line="240" w:lineRule="auto"/>
                      <w:jc w:val="both"/>
                      <w:rPr>
                        <w:sz w:val="20"/>
                        <w:szCs w:val="20"/>
                        <w:lang w:val="es-MX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s-MX"/>
                        </w:rPr>
                        <w:tag w:val="goog_rdk_524"/>
                        <w:id w:val="51047445"/>
                      </w:sdtPr>
                      <w:sdtEndPr/>
                      <w:sdtContent/>
                    </w:sdt>
                  </w:p>
                </w:sdtContent>
              </w:sdt>
            </w:tc>
            <w:tc>
              <w:tcPr>
                <w:tcW w:w="1276" w:type="dxa"/>
                <w:tcBorders>
                  <w:left w:val="single" w:sz="12" w:space="0" w:color="1F497D"/>
                </w:tcBorders>
              </w:tcPr>
              <w:sdt>
                <w:sdtPr>
                  <w:rPr>
                    <w:sz w:val="20"/>
                    <w:szCs w:val="20"/>
                    <w:lang w:val="es-MX"/>
                  </w:rPr>
                  <w:tag w:val="goog_rdk_527"/>
                  <w:id w:val="-414162910"/>
                </w:sdtPr>
                <w:sdtEndPr/>
                <w:sdtContent>
                  <w:p w14:paraId="6E53ACB3" w14:textId="77777777" w:rsidR="0087780F" w:rsidRPr="00B210B5" w:rsidRDefault="00A27416" w:rsidP="0063121E">
                    <w:pPr>
                      <w:spacing w:line="240" w:lineRule="auto"/>
                      <w:jc w:val="both"/>
                      <w:rPr>
                        <w:sz w:val="20"/>
                        <w:szCs w:val="20"/>
                        <w:lang w:val="es-MX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s-MX"/>
                        </w:rPr>
                        <w:tag w:val="goog_rdk_526"/>
                        <w:id w:val="-404067333"/>
                      </w:sdtPr>
                      <w:sdtEndPr/>
                      <w:sdtContent/>
                    </w:sdt>
                  </w:p>
                </w:sdtContent>
              </w:sdt>
            </w:tc>
            <w:tc>
              <w:tcPr>
                <w:tcW w:w="1177" w:type="dxa"/>
                <w:tcBorders>
                  <w:left w:val="single" w:sz="12" w:space="0" w:color="1F497D"/>
                </w:tcBorders>
              </w:tcPr>
              <w:sdt>
                <w:sdtPr>
                  <w:rPr>
                    <w:sz w:val="20"/>
                    <w:szCs w:val="20"/>
                    <w:lang w:val="es-MX"/>
                  </w:rPr>
                  <w:tag w:val="goog_rdk_529"/>
                  <w:id w:val="1200736519"/>
                </w:sdtPr>
                <w:sdtEndPr/>
                <w:sdtContent>
                  <w:p w14:paraId="1B153CA6" w14:textId="77777777" w:rsidR="0087780F" w:rsidRPr="00B210B5" w:rsidRDefault="00A27416" w:rsidP="0063121E">
                    <w:pPr>
                      <w:spacing w:line="240" w:lineRule="auto"/>
                      <w:jc w:val="both"/>
                      <w:rPr>
                        <w:sz w:val="20"/>
                        <w:szCs w:val="20"/>
                        <w:lang w:val="es-MX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s-MX"/>
                        </w:rPr>
                        <w:tag w:val="goog_rdk_528"/>
                        <w:id w:val="1661814322"/>
                      </w:sdtPr>
                      <w:sdtEndPr/>
                      <w:sdtContent/>
                    </w:sdt>
                  </w:p>
                </w:sdtContent>
              </w:sdt>
            </w:tc>
          </w:tr>
        </w:sdtContent>
      </w:sdt>
      <w:sdt>
        <w:sdtPr>
          <w:rPr>
            <w:b/>
            <w:sz w:val="20"/>
            <w:szCs w:val="20"/>
            <w:lang w:val="es-MX"/>
          </w:rPr>
          <w:tag w:val="goog_rdk_530"/>
          <w:id w:val="-1549519274"/>
        </w:sdtPr>
        <w:sdtEndPr/>
        <w:sdtContent>
          <w:tr w:rsidR="0087780F" w:rsidRPr="00B210B5" w14:paraId="7A8AFD57" w14:textId="77777777" w:rsidTr="0063121E">
            <w:tc>
              <w:tcPr>
                <w:tcW w:w="4605" w:type="dxa"/>
              </w:tcPr>
              <w:sdt>
                <w:sdtPr>
                  <w:rPr>
                    <w:sz w:val="20"/>
                    <w:szCs w:val="20"/>
                    <w:lang w:val="es-MX"/>
                  </w:rPr>
                  <w:tag w:val="goog_rdk_532"/>
                  <w:id w:val="805591311"/>
                </w:sdtPr>
                <w:sdtEndPr/>
                <w:sdtContent>
                  <w:p w14:paraId="44DF9C2F" w14:textId="77777777" w:rsidR="0087780F" w:rsidRPr="00B210B5" w:rsidRDefault="00A27416" w:rsidP="0063121E">
                    <w:pPr>
                      <w:spacing w:line="240" w:lineRule="auto"/>
                      <w:jc w:val="both"/>
                      <w:rPr>
                        <w:rFonts w:eastAsia="Garamond"/>
                        <w:sz w:val="20"/>
                        <w:szCs w:val="20"/>
                        <w:lang w:val="es-MX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s-MX"/>
                        </w:rPr>
                        <w:tag w:val="goog_rdk_531"/>
                        <w:id w:val="1097609586"/>
                      </w:sdtPr>
                      <w:sdtEndPr/>
                      <w:sdtContent>
                        <w:r w:rsidR="0087780F" w:rsidRPr="00B210B5">
                          <w:rPr>
                            <w:rFonts w:eastAsia="Garamond"/>
                            <w:sz w:val="20"/>
                            <w:szCs w:val="20"/>
                            <w:lang w:val="es-MX"/>
                          </w:rPr>
                          <w:t>Fallas en la accesibilidad: servicios (como citologías) a hombres trans ya que el sistema impide programar el servicio a personas registradas como de sexo masculino</w:t>
                        </w:r>
                      </w:sdtContent>
                    </w:sdt>
                  </w:p>
                </w:sdtContent>
              </w:sdt>
            </w:tc>
            <w:tc>
              <w:tcPr>
                <w:tcW w:w="1202" w:type="dxa"/>
                <w:tcBorders>
                  <w:right w:val="single" w:sz="12" w:space="0" w:color="1F497D"/>
                </w:tcBorders>
              </w:tcPr>
              <w:sdt>
                <w:sdtPr>
                  <w:rPr>
                    <w:sz w:val="20"/>
                    <w:szCs w:val="20"/>
                    <w:lang w:val="es-MX"/>
                  </w:rPr>
                  <w:tag w:val="goog_rdk_534"/>
                  <w:id w:val="-509062057"/>
                </w:sdtPr>
                <w:sdtEndPr/>
                <w:sdtContent>
                  <w:p w14:paraId="5177975B" w14:textId="77777777" w:rsidR="0087780F" w:rsidRPr="00B210B5" w:rsidRDefault="00A27416" w:rsidP="0063121E">
                    <w:pPr>
                      <w:spacing w:line="240" w:lineRule="auto"/>
                      <w:jc w:val="center"/>
                      <w:rPr>
                        <w:sz w:val="20"/>
                        <w:szCs w:val="20"/>
                        <w:lang w:val="es-MX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s-MX"/>
                        </w:rPr>
                        <w:tag w:val="goog_rdk_533"/>
                        <w:id w:val="-420256506"/>
                      </w:sdtPr>
                      <w:sdtEndPr/>
                      <w:sdtContent/>
                    </w:sdt>
                  </w:p>
                </w:sdtContent>
              </w:sdt>
            </w:tc>
            <w:tc>
              <w:tcPr>
                <w:tcW w:w="1134" w:type="dxa"/>
                <w:tcBorders>
                  <w:right w:val="single" w:sz="12" w:space="0" w:color="1F497D"/>
                </w:tcBorders>
              </w:tcPr>
              <w:sdt>
                <w:sdtPr>
                  <w:rPr>
                    <w:sz w:val="20"/>
                    <w:szCs w:val="20"/>
                    <w:lang w:val="es-MX"/>
                  </w:rPr>
                  <w:tag w:val="goog_rdk_536"/>
                  <w:id w:val="982202684"/>
                </w:sdtPr>
                <w:sdtEndPr/>
                <w:sdtContent>
                  <w:p w14:paraId="73F6678E" w14:textId="77777777" w:rsidR="0087780F" w:rsidRPr="00B210B5" w:rsidRDefault="00A27416" w:rsidP="0063121E">
                    <w:pPr>
                      <w:spacing w:line="240" w:lineRule="auto"/>
                      <w:jc w:val="both"/>
                      <w:rPr>
                        <w:sz w:val="20"/>
                        <w:szCs w:val="20"/>
                        <w:lang w:val="es-MX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s-MX"/>
                        </w:rPr>
                        <w:tag w:val="goog_rdk_535"/>
                        <w:id w:val="-313177013"/>
                      </w:sdtPr>
                      <w:sdtEndPr/>
                      <w:sdtContent/>
                    </w:sdt>
                  </w:p>
                </w:sdtContent>
              </w:sdt>
            </w:tc>
            <w:tc>
              <w:tcPr>
                <w:tcW w:w="1276" w:type="dxa"/>
                <w:tcBorders>
                  <w:left w:val="single" w:sz="12" w:space="0" w:color="1F497D"/>
                </w:tcBorders>
              </w:tcPr>
              <w:sdt>
                <w:sdtPr>
                  <w:rPr>
                    <w:sz w:val="20"/>
                    <w:szCs w:val="20"/>
                    <w:lang w:val="es-MX"/>
                  </w:rPr>
                  <w:tag w:val="goog_rdk_538"/>
                  <w:id w:val="1755773153"/>
                </w:sdtPr>
                <w:sdtEndPr/>
                <w:sdtContent>
                  <w:p w14:paraId="4EEFA932" w14:textId="77777777" w:rsidR="0087780F" w:rsidRPr="00B210B5" w:rsidRDefault="00A27416" w:rsidP="0063121E">
                    <w:pPr>
                      <w:spacing w:line="240" w:lineRule="auto"/>
                      <w:jc w:val="both"/>
                      <w:rPr>
                        <w:sz w:val="20"/>
                        <w:szCs w:val="20"/>
                        <w:lang w:val="es-MX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s-MX"/>
                        </w:rPr>
                        <w:tag w:val="goog_rdk_537"/>
                        <w:id w:val="179478267"/>
                      </w:sdtPr>
                      <w:sdtEndPr/>
                      <w:sdtContent/>
                    </w:sdt>
                  </w:p>
                </w:sdtContent>
              </w:sdt>
            </w:tc>
            <w:tc>
              <w:tcPr>
                <w:tcW w:w="1177" w:type="dxa"/>
                <w:tcBorders>
                  <w:left w:val="single" w:sz="12" w:space="0" w:color="1F497D"/>
                </w:tcBorders>
              </w:tcPr>
              <w:sdt>
                <w:sdtPr>
                  <w:rPr>
                    <w:sz w:val="20"/>
                    <w:szCs w:val="20"/>
                    <w:lang w:val="es-MX"/>
                  </w:rPr>
                  <w:tag w:val="goog_rdk_540"/>
                  <w:id w:val="-434290085"/>
                </w:sdtPr>
                <w:sdtEndPr/>
                <w:sdtContent>
                  <w:p w14:paraId="5B3AD1AF" w14:textId="77777777" w:rsidR="0087780F" w:rsidRPr="00B210B5" w:rsidRDefault="00A27416" w:rsidP="0063121E">
                    <w:pPr>
                      <w:spacing w:line="240" w:lineRule="auto"/>
                      <w:jc w:val="both"/>
                      <w:rPr>
                        <w:sz w:val="20"/>
                        <w:szCs w:val="20"/>
                        <w:lang w:val="es-MX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s-MX"/>
                        </w:rPr>
                        <w:tag w:val="goog_rdk_539"/>
                        <w:id w:val="961237549"/>
                      </w:sdtPr>
                      <w:sdtEndPr/>
                      <w:sdtContent/>
                    </w:sdt>
                  </w:p>
                </w:sdtContent>
              </w:sdt>
            </w:tc>
          </w:tr>
        </w:sdtContent>
      </w:sdt>
      <w:tr w:rsidR="0087780F" w:rsidRPr="00B210B5" w14:paraId="131C43A3" w14:textId="77777777" w:rsidTr="0063121E">
        <w:tc>
          <w:tcPr>
            <w:tcW w:w="4605" w:type="dxa"/>
          </w:tcPr>
          <w:p w14:paraId="4125D97B" w14:textId="77777777" w:rsidR="0087780F" w:rsidRPr="00B210B5" w:rsidRDefault="0087780F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Fallas en la accesibilidad: demora para la atención en el módulo de autorizaciones. </w:t>
            </w:r>
          </w:p>
        </w:tc>
        <w:tc>
          <w:tcPr>
            <w:tcW w:w="1202" w:type="dxa"/>
            <w:tcBorders>
              <w:right w:val="single" w:sz="12" w:space="0" w:color="1F497D"/>
            </w:tcBorders>
          </w:tcPr>
          <w:p w14:paraId="64152CA8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right w:val="single" w:sz="12" w:space="0" w:color="1F497D"/>
            </w:tcBorders>
          </w:tcPr>
          <w:p w14:paraId="1B5F153B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B210B5">
              <w:rPr>
                <w:sz w:val="20"/>
                <w:szCs w:val="20"/>
                <w:lang w:val="es-MX"/>
              </w:rPr>
              <w:t>X</w:t>
            </w:r>
          </w:p>
        </w:tc>
        <w:tc>
          <w:tcPr>
            <w:tcW w:w="1276" w:type="dxa"/>
            <w:tcBorders>
              <w:left w:val="single" w:sz="12" w:space="0" w:color="1F497D"/>
            </w:tcBorders>
          </w:tcPr>
          <w:p w14:paraId="29BE3700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177" w:type="dxa"/>
            <w:tcBorders>
              <w:left w:val="single" w:sz="12" w:space="0" w:color="1F497D"/>
            </w:tcBorders>
          </w:tcPr>
          <w:p w14:paraId="0150C82E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87780F" w:rsidRPr="00B210B5" w14:paraId="6F7E1F47" w14:textId="77777777" w:rsidTr="0063121E">
        <w:tc>
          <w:tcPr>
            <w:tcW w:w="4605" w:type="dxa"/>
          </w:tcPr>
          <w:p w14:paraId="3E5B7D29" w14:textId="77777777" w:rsidR="0087780F" w:rsidRPr="00B210B5" w:rsidRDefault="0087780F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Instalaciones de salud inadecuadas: desorden del servicio. </w:t>
            </w:r>
          </w:p>
        </w:tc>
        <w:tc>
          <w:tcPr>
            <w:tcW w:w="1202" w:type="dxa"/>
            <w:tcBorders>
              <w:right w:val="single" w:sz="12" w:space="0" w:color="1F497D"/>
            </w:tcBorders>
          </w:tcPr>
          <w:p w14:paraId="56DD7508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right w:val="single" w:sz="12" w:space="0" w:color="1F497D"/>
            </w:tcBorders>
          </w:tcPr>
          <w:p w14:paraId="08DFA20E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left w:val="single" w:sz="12" w:space="0" w:color="1F497D"/>
            </w:tcBorders>
          </w:tcPr>
          <w:p w14:paraId="0658A704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B210B5">
              <w:rPr>
                <w:sz w:val="20"/>
                <w:szCs w:val="20"/>
                <w:lang w:val="es-MX"/>
              </w:rPr>
              <w:t>X</w:t>
            </w:r>
          </w:p>
        </w:tc>
        <w:tc>
          <w:tcPr>
            <w:tcW w:w="1177" w:type="dxa"/>
            <w:tcBorders>
              <w:left w:val="single" w:sz="12" w:space="0" w:color="1F497D"/>
            </w:tcBorders>
          </w:tcPr>
          <w:p w14:paraId="120BF336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87780F" w:rsidRPr="00B210B5" w14:paraId="2FD41683" w14:textId="77777777" w:rsidTr="0063121E">
        <w:tc>
          <w:tcPr>
            <w:tcW w:w="4605" w:type="dxa"/>
          </w:tcPr>
          <w:p w14:paraId="5482DDA1" w14:textId="77777777" w:rsidR="0087780F" w:rsidRPr="00B210B5" w:rsidRDefault="0087780F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Servicio de salud poco pertinente: personal poco capacitado. </w:t>
            </w:r>
          </w:p>
        </w:tc>
        <w:tc>
          <w:tcPr>
            <w:tcW w:w="1202" w:type="dxa"/>
            <w:tcBorders>
              <w:right w:val="single" w:sz="12" w:space="0" w:color="1F497D"/>
            </w:tcBorders>
          </w:tcPr>
          <w:p w14:paraId="3B7D46A0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B210B5">
              <w:rPr>
                <w:sz w:val="20"/>
                <w:szCs w:val="20"/>
                <w:lang w:val="es-MX"/>
              </w:rPr>
              <w:t>X</w:t>
            </w:r>
          </w:p>
        </w:tc>
        <w:tc>
          <w:tcPr>
            <w:tcW w:w="1134" w:type="dxa"/>
            <w:tcBorders>
              <w:right w:val="single" w:sz="12" w:space="0" w:color="1F497D"/>
            </w:tcBorders>
          </w:tcPr>
          <w:p w14:paraId="500B397F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left w:val="single" w:sz="12" w:space="0" w:color="1F497D"/>
            </w:tcBorders>
          </w:tcPr>
          <w:p w14:paraId="59A9A104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177" w:type="dxa"/>
            <w:tcBorders>
              <w:left w:val="single" w:sz="12" w:space="0" w:color="1F497D"/>
            </w:tcBorders>
          </w:tcPr>
          <w:p w14:paraId="5B92F529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87780F" w:rsidRPr="00B210B5" w14:paraId="6FEC40C3" w14:textId="77777777" w:rsidTr="0063121E">
        <w:tc>
          <w:tcPr>
            <w:tcW w:w="4605" w:type="dxa"/>
          </w:tcPr>
          <w:p w14:paraId="767079A7" w14:textId="77777777" w:rsidR="0087780F" w:rsidRPr="00B210B5" w:rsidRDefault="0087780F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Trato inadecuado del personal: falta de humanización. </w:t>
            </w:r>
          </w:p>
        </w:tc>
        <w:tc>
          <w:tcPr>
            <w:tcW w:w="1202" w:type="dxa"/>
            <w:tcBorders>
              <w:right w:val="single" w:sz="12" w:space="0" w:color="1F497D"/>
            </w:tcBorders>
          </w:tcPr>
          <w:p w14:paraId="53F7E23E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B210B5">
              <w:rPr>
                <w:sz w:val="20"/>
                <w:szCs w:val="20"/>
                <w:lang w:val="es-MX"/>
              </w:rPr>
              <w:t>X</w:t>
            </w:r>
          </w:p>
        </w:tc>
        <w:tc>
          <w:tcPr>
            <w:tcW w:w="1134" w:type="dxa"/>
            <w:tcBorders>
              <w:right w:val="single" w:sz="12" w:space="0" w:color="1F497D"/>
            </w:tcBorders>
          </w:tcPr>
          <w:p w14:paraId="67AF57FC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left w:val="single" w:sz="12" w:space="0" w:color="1F497D"/>
            </w:tcBorders>
          </w:tcPr>
          <w:p w14:paraId="4CCF5B3A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177" w:type="dxa"/>
            <w:tcBorders>
              <w:left w:val="single" w:sz="12" w:space="0" w:color="1F497D"/>
            </w:tcBorders>
          </w:tcPr>
          <w:p w14:paraId="49EBA380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87780F" w:rsidRPr="00B210B5" w14:paraId="72BA020B" w14:textId="77777777" w:rsidTr="0063121E">
        <w:tc>
          <w:tcPr>
            <w:tcW w:w="4605" w:type="dxa"/>
          </w:tcPr>
          <w:p w14:paraId="557D5BD2" w14:textId="637932D8" w:rsidR="0087780F" w:rsidRPr="00B210B5" w:rsidRDefault="0087780F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Fallas en la accesibilidad: </w:t>
            </w:r>
            <w:r w:rsidR="0062001E">
              <w:rPr>
                <w:rFonts w:eastAsia="Garamond"/>
                <w:sz w:val="20"/>
                <w:szCs w:val="20"/>
                <w:lang w:val="es-MX"/>
              </w:rPr>
              <w:t>n</w:t>
            </w: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o autorización de servicios para la recuperación de la salud. </w:t>
            </w:r>
          </w:p>
        </w:tc>
        <w:tc>
          <w:tcPr>
            <w:tcW w:w="1202" w:type="dxa"/>
            <w:tcBorders>
              <w:right w:val="single" w:sz="12" w:space="0" w:color="1F497D"/>
            </w:tcBorders>
          </w:tcPr>
          <w:p w14:paraId="45385F2E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B210B5">
              <w:rPr>
                <w:sz w:val="20"/>
                <w:szCs w:val="20"/>
                <w:lang w:val="es-MX"/>
              </w:rPr>
              <w:t>X</w:t>
            </w:r>
          </w:p>
        </w:tc>
        <w:tc>
          <w:tcPr>
            <w:tcW w:w="1134" w:type="dxa"/>
            <w:tcBorders>
              <w:right w:val="single" w:sz="12" w:space="0" w:color="1F497D"/>
            </w:tcBorders>
          </w:tcPr>
          <w:p w14:paraId="1EA84406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left w:val="single" w:sz="12" w:space="0" w:color="1F497D"/>
            </w:tcBorders>
          </w:tcPr>
          <w:p w14:paraId="38466BA1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177" w:type="dxa"/>
            <w:tcBorders>
              <w:left w:val="single" w:sz="12" w:space="0" w:color="1F497D"/>
            </w:tcBorders>
          </w:tcPr>
          <w:p w14:paraId="009BC3FA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87780F" w:rsidRPr="00B210B5" w14:paraId="0917F90B" w14:textId="77777777" w:rsidTr="0063121E">
        <w:tc>
          <w:tcPr>
            <w:tcW w:w="4605" w:type="dxa"/>
          </w:tcPr>
          <w:p w14:paraId="64ED50FD" w14:textId="493979F7" w:rsidR="0087780F" w:rsidRPr="00B210B5" w:rsidRDefault="0087780F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Instalaciones de salud inadecuadas: </w:t>
            </w:r>
            <w:r w:rsidR="0062001E">
              <w:rPr>
                <w:rFonts w:eastAsia="Garamond"/>
                <w:sz w:val="20"/>
                <w:szCs w:val="20"/>
                <w:lang w:val="es-MX"/>
              </w:rPr>
              <w:t>p</w:t>
            </w: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ocas sillas en sala de espera. </w:t>
            </w:r>
          </w:p>
        </w:tc>
        <w:tc>
          <w:tcPr>
            <w:tcW w:w="1202" w:type="dxa"/>
            <w:tcBorders>
              <w:right w:val="single" w:sz="12" w:space="0" w:color="1F497D"/>
            </w:tcBorders>
          </w:tcPr>
          <w:p w14:paraId="7F48DBFD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right w:val="single" w:sz="12" w:space="0" w:color="1F497D"/>
            </w:tcBorders>
          </w:tcPr>
          <w:p w14:paraId="292C7033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left w:val="single" w:sz="12" w:space="0" w:color="1F497D"/>
            </w:tcBorders>
          </w:tcPr>
          <w:p w14:paraId="28D90E99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B210B5">
              <w:rPr>
                <w:sz w:val="20"/>
                <w:szCs w:val="20"/>
                <w:lang w:val="es-MX"/>
              </w:rPr>
              <w:t>X</w:t>
            </w:r>
          </w:p>
        </w:tc>
        <w:tc>
          <w:tcPr>
            <w:tcW w:w="1177" w:type="dxa"/>
            <w:tcBorders>
              <w:left w:val="single" w:sz="12" w:space="0" w:color="1F497D"/>
            </w:tcBorders>
          </w:tcPr>
          <w:p w14:paraId="2A11D4A8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87780F" w:rsidRPr="00B210B5" w14:paraId="07DDF378" w14:textId="77777777" w:rsidTr="0063121E">
        <w:tc>
          <w:tcPr>
            <w:tcW w:w="4605" w:type="dxa"/>
          </w:tcPr>
          <w:p w14:paraId="77B9BD76" w14:textId="170CF2A7" w:rsidR="0087780F" w:rsidRPr="00B210B5" w:rsidRDefault="0087780F" w:rsidP="0063121E">
            <w:pPr>
              <w:spacing w:line="240" w:lineRule="auto"/>
              <w:jc w:val="both"/>
              <w:rPr>
                <w:rFonts w:eastAsia="Garamond"/>
                <w:b/>
                <w:sz w:val="20"/>
                <w:szCs w:val="20"/>
                <w:lang w:val="es-MX"/>
              </w:rPr>
            </w:pP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Fallas en la accesibilidad: </w:t>
            </w:r>
            <w:r w:rsidR="0062001E">
              <w:rPr>
                <w:rFonts w:eastAsia="Garamond"/>
                <w:sz w:val="20"/>
                <w:szCs w:val="20"/>
                <w:lang w:val="es-MX"/>
              </w:rPr>
              <w:t>n</w:t>
            </w:r>
            <w:r w:rsidRPr="00B210B5">
              <w:rPr>
                <w:rFonts w:eastAsia="Garamond"/>
                <w:sz w:val="20"/>
                <w:szCs w:val="20"/>
                <w:lang w:val="es-MX"/>
              </w:rPr>
              <w:t xml:space="preserve">egación de tecnología en salud presente en el plan de tratamiento. </w:t>
            </w:r>
          </w:p>
        </w:tc>
        <w:tc>
          <w:tcPr>
            <w:tcW w:w="1202" w:type="dxa"/>
            <w:tcBorders>
              <w:right w:val="single" w:sz="12" w:space="0" w:color="1F497D"/>
            </w:tcBorders>
          </w:tcPr>
          <w:p w14:paraId="2BA646FD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right w:val="single" w:sz="12" w:space="0" w:color="1F497D"/>
            </w:tcBorders>
          </w:tcPr>
          <w:p w14:paraId="24FE19C6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left w:val="single" w:sz="12" w:space="0" w:color="1F497D"/>
            </w:tcBorders>
          </w:tcPr>
          <w:p w14:paraId="432F8DCE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177" w:type="dxa"/>
            <w:tcBorders>
              <w:left w:val="single" w:sz="12" w:space="0" w:color="1F497D"/>
            </w:tcBorders>
          </w:tcPr>
          <w:p w14:paraId="125FFF9D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B210B5">
              <w:rPr>
                <w:sz w:val="20"/>
                <w:szCs w:val="20"/>
                <w:lang w:val="es-MX"/>
              </w:rPr>
              <w:t>X</w:t>
            </w:r>
          </w:p>
        </w:tc>
      </w:tr>
      <w:tr w:rsidR="0087780F" w:rsidRPr="00B210B5" w14:paraId="0C47074C" w14:textId="77777777" w:rsidTr="0063121E">
        <w:tc>
          <w:tcPr>
            <w:tcW w:w="4605" w:type="dxa"/>
          </w:tcPr>
          <w:p w14:paraId="68D1F65E" w14:textId="77777777" w:rsidR="0087780F" w:rsidRPr="00702401" w:rsidRDefault="0087780F" w:rsidP="0063121E">
            <w:pPr>
              <w:spacing w:line="240" w:lineRule="auto"/>
              <w:jc w:val="both"/>
              <w:rPr>
                <w:rFonts w:eastAsia="Garamond"/>
                <w:sz w:val="20"/>
                <w:szCs w:val="20"/>
                <w:lang w:val="es-MX"/>
              </w:rPr>
            </w:pPr>
            <w:r w:rsidRPr="00702401">
              <w:rPr>
                <w:sz w:val="20"/>
                <w:szCs w:val="20"/>
                <w:lang w:val="es-MX"/>
              </w:rPr>
              <w:t>Falta de actualización de las bases de datos de las EPS y de las IPS una vez se ha hecho el cambio de nombre.</w:t>
            </w:r>
          </w:p>
        </w:tc>
        <w:tc>
          <w:tcPr>
            <w:tcW w:w="1202" w:type="dxa"/>
            <w:tcBorders>
              <w:right w:val="single" w:sz="12" w:space="0" w:color="1F497D"/>
            </w:tcBorders>
          </w:tcPr>
          <w:p w14:paraId="59E561B1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right w:val="single" w:sz="12" w:space="0" w:color="1F497D"/>
            </w:tcBorders>
          </w:tcPr>
          <w:p w14:paraId="4FE1B292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left w:val="single" w:sz="12" w:space="0" w:color="1F497D"/>
            </w:tcBorders>
          </w:tcPr>
          <w:p w14:paraId="208C5AC4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B210B5">
              <w:rPr>
                <w:sz w:val="20"/>
                <w:szCs w:val="20"/>
                <w:lang w:val="es-MX"/>
              </w:rPr>
              <w:t>x</w:t>
            </w:r>
          </w:p>
        </w:tc>
        <w:tc>
          <w:tcPr>
            <w:tcW w:w="1177" w:type="dxa"/>
            <w:tcBorders>
              <w:left w:val="single" w:sz="12" w:space="0" w:color="1F497D"/>
            </w:tcBorders>
          </w:tcPr>
          <w:p w14:paraId="4382CEDF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87780F" w:rsidRPr="00B210B5" w14:paraId="53AFDF38" w14:textId="77777777" w:rsidTr="0063121E">
        <w:tc>
          <w:tcPr>
            <w:tcW w:w="4605" w:type="dxa"/>
          </w:tcPr>
          <w:p w14:paraId="1BEFB0A0" w14:textId="2AA14CB5" w:rsidR="0087780F" w:rsidRPr="00702401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  <w:r w:rsidRPr="00702401">
              <w:rPr>
                <w:sz w:val="20"/>
                <w:szCs w:val="20"/>
                <w:lang w:val="es-MX"/>
              </w:rPr>
              <w:t xml:space="preserve">Negación de servicios de </w:t>
            </w:r>
            <w:r w:rsidR="00E11E74" w:rsidRPr="00702401">
              <w:rPr>
                <w:sz w:val="20"/>
                <w:szCs w:val="20"/>
                <w:lang w:val="es-MX"/>
              </w:rPr>
              <w:t>citología</w:t>
            </w:r>
            <w:r w:rsidRPr="00702401">
              <w:rPr>
                <w:sz w:val="20"/>
                <w:szCs w:val="20"/>
                <w:lang w:val="es-MX"/>
              </w:rPr>
              <w:t xml:space="preserve"> a hombres trans</w:t>
            </w:r>
            <w:r w:rsidR="00871469">
              <w:rPr>
                <w:sz w:val="20"/>
                <w:szCs w:val="20"/>
                <w:lang w:val="es-MX"/>
              </w:rPr>
              <w:t>,</w:t>
            </w:r>
            <w:r w:rsidRPr="00702401">
              <w:rPr>
                <w:sz w:val="20"/>
                <w:szCs w:val="20"/>
                <w:lang w:val="es-MX"/>
              </w:rPr>
              <w:t xml:space="preserve"> por impedimento de programación a personas registradas como de sexo masculino</w:t>
            </w:r>
          </w:p>
        </w:tc>
        <w:tc>
          <w:tcPr>
            <w:tcW w:w="1202" w:type="dxa"/>
            <w:tcBorders>
              <w:right w:val="single" w:sz="12" w:space="0" w:color="1F497D"/>
            </w:tcBorders>
          </w:tcPr>
          <w:p w14:paraId="55579E93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right w:val="single" w:sz="12" w:space="0" w:color="1F497D"/>
            </w:tcBorders>
          </w:tcPr>
          <w:p w14:paraId="1D6B4CF0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left w:val="single" w:sz="12" w:space="0" w:color="1F497D"/>
            </w:tcBorders>
          </w:tcPr>
          <w:p w14:paraId="38735D5E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B210B5">
              <w:rPr>
                <w:sz w:val="20"/>
                <w:szCs w:val="20"/>
                <w:lang w:val="es-MX"/>
              </w:rPr>
              <w:t>x</w:t>
            </w:r>
          </w:p>
        </w:tc>
        <w:tc>
          <w:tcPr>
            <w:tcW w:w="1177" w:type="dxa"/>
            <w:tcBorders>
              <w:left w:val="single" w:sz="12" w:space="0" w:color="1F497D"/>
            </w:tcBorders>
          </w:tcPr>
          <w:p w14:paraId="3CD1B23F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87780F" w:rsidRPr="00B210B5" w14:paraId="2F37A215" w14:textId="77777777" w:rsidTr="0063121E">
        <w:tc>
          <w:tcPr>
            <w:tcW w:w="4605" w:type="dxa"/>
          </w:tcPr>
          <w:p w14:paraId="1D135A5C" w14:textId="09089034" w:rsidR="0087780F" w:rsidRPr="00702401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  <w:r w:rsidRPr="00702401">
              <w:rPr>
                <w:sz w:val="20"/>
                <w:szCs w:val="20"/>
                <w:lang w:val="es-MX"/>
              </w:rPr>
              <w:t xml:space="preserve">Negación de servicios de </w:t>
            </w:r>
            <w:r w:rsidR="00E11E74" w:rsidRPr="00702401">
              <w:rPr>
                <w:sz w:val="20"/>
                <w:szCs w:val="20"/>
                <w:lang w:val="es-MX"/>
              </w:rPr>
              <w:t>ginecobstetricia</w:t>
            </w:r>
            <w:r w:rsidRPr="00702401">
              <w:rPr>
                <w:sz w:val="20"/>
                <w:szCs w:val="20"/>
                <w:lang w:val="es-MX"/>
              </w:rPr>
              <w:t xml:space="preserve"> a hombres trans</w:t>
            </w:r>
            <w:r w:rsidR="00871469">
              <w:rPr>
                <w:sz w:val="20"/>
                <w:szCs w:val="20"/>
                <w:lang w:val="es-MX"/>
              </w:rPr>
              <w:t>,</w:t>
            </w:r>
            <w:r w:rsidRPr="00702401">
              <w:rPr>
                <w:sz w:val="20"/>
                <w:szCs w:val="20"/>
                <w:lang w:val="es-MX"/>
              </w:rPr>
              <w:t xml:space="preserve"> por impedimento de programación a personas registradas como de sexo masculino</w:t>
            </w:r>
          </w:p>
        </w:tc>
        <w:tc>
          <w:tcPr>
            <w:tcW w:w="1202" w:type="dxa"/>
            <w:tcBorders>
              <w:right w:val="single" w:sz="12" w:space="0" w:color="1F497D"/>
            </w:tcBorders>
          </w:tcPr>
          <w:p w14:paraId="0A7E4E4C" w14:textId="77777777" w:rsidR="0087780F" w:rsidRPr="00B210B5" w:rsidRDefault="0087780F" w:rsidP="0063121E">
            <w:pPr>
              <w:spacing w:line="240" w:lineRule="auto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right w:val="single" w:sz="12" w:space="0" w:color="1F497D"/>
            </w:tcBorders>
          </w:tcPr>
          <w:p w14:paraId="2A8E690A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left w:val="single" w:sz="12" w:space="0" w:color="1F497D"/>
            </w:tcBorders>
          </w:tcPr>
          <w:p w14:paraId="34607DA6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B210B5">
              <w:rPr>
                <w:sz w:val="20"/>
                <w:szCs w:val="20"/>
                <w:lang w:val="es-MX"/>
              </w:rPr>
              <w:t>x</w:t>
            </w:r>
          </w:p>
        </w:tc>
        <w:tc>
          <w:tcPr>
            <w:tcW w:w="1177" w:type="dxa"/>
            <w:tcBorders>
              <w:left w:val="single" w:sz="12" w:space="0" w:color="1F497D"/>
            </w:tcBorders>
          </w:tcPr>
          <w:p w14:paraId="74C11B0C" w14:textId="77777777" w:rsidR="0087780F" w:rsidRPr="00B210B5" w:rsidRDefault="0087780F" w:rsidP="0063121E">
            <w:pP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</w:p>
        </w:tc>
      </w:tr>
    </w:tbl>
    <w:p w14:paraId="1C6FA97D" w14:textId="77777777" w:rsidR="00D27F96" w:rsidRDefault="00D27F96"/>
    <w:p w14:paraId="5A4F88FC" w14:textId="77777777" w:rsidR="00C33553" w:rsidRDefault="00C33553"/>
    <w:p w14:paraId="23FDEF45" w14:textId="77777777" w:rsidR="00C33553" w:rsidRDefault="00C33553" w:rsidP="00C33553">
      <w:pPr>
        <w:rPr>
          <w:b/>
          <w:bCs/>
        </w:rPr>
      </w:pPr>
      <w:r>
        <w:rPr>
          <w:b/>
          <w:bCs/>
          <w:shd w:val="clear" w:color="auto" w:fill="92D050"/>
        </w:rPr>
        <w:t xml:space="preserve">RETROALIMENTACIÓN: </w:t>
      </w:r>
    </w:p>
    <w:p w14:paraId="5FD0E1E3" w14:textId="77777777" w:rsidR="00C33553" w:rsidRDefault="00C33553" w:rsidP="00C33553">
      <w:r>
        <w:t>¡Excelente! Te felicito, has superado la actividad.</w:t>
      </w:r>
    </w:p>
    <w:p w14:paraId="6B76A7AA" w14:textId="77777777" w:rsidR="00C33553" w:rsidRDefault="00C33553" w:rsidP="00C33553"/>
    <w:p w14:paraId="420B1BAB" w14:textId="77777777" w:rsidR="00C33553" w:rsidRDefault="00C33553" w:rsidP="00C33553">
      <w:r>
        <w:rPr>
          <w:b/>
          <w:bCs/>
          <w:color w:val="FFFFFF" w:themeColor="background1"/>
          <w:shd w:val="clear" w:color="auto" w:fill="FF0000"/>
        </w:rPr>
        <w:t>RETROALIMENTACIÓN:</w:t>
      </w:r>
    </w:p>
    <w:p w14:paraId="1A3B9AE5" w14:textId="3F315327" w:rsidR="00C33553" w:rsidRDefault="00C33553" w:rsidP="00C33553">
      <w:r>
        <w:lastRenderedPageBreak/>
        <w:t>Te recomendamos volver a revisar el componente formativo e intentar nuevamente la actividad didáctica.</w:t>
      </w:r>
    </w:p>
    <w:sectPr w:rsidR="00C33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B237C"/>
    <w:multiLevelType w:val="multilevel"/>
    <w:tmpl w:val="E684DD6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0736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0F"/>
    <w:rsid w:val="00024A7B"/>
    <w:rsid w:val="000410CE"/>
    <w:rsid w:val="001C011A"/>
    <w:rsid w:val="00252AF9"/>
    <w:rsid w:val="002827A0"/>
    <w:rsid w:val="00304E41"/>
    <w:rsid w:val="005319F5"/>
    <w:rsid w:val="005A4AF2"/>
    <w:rsid w:val="0062001E"/>
    <w:rsid w:val="0067522A"/>
    <w:rsid w:val="006E7785"/>
    <w:rsid w:val="00702401"/>
    <w:rsid w:val="00754548"/>
    <w:rsid w:val="00871469"/>
    <w:rsid w:val="0087780F"/>
    <w:rsid w:val="00931D77"/>
    <w:rsid w:val="00A27416"/>
    <w:rsid w:val="00BD28EB"/>
    <w:rsid w:val="00C33553"/>
    <w:rsid w:val="00D27F96"/>
    <w:rsid w:val="00D66F87"/>
    <w:rsid w:val="00DB732F"/>
    <w:rsid w:val="00DF6394"/>
    <w:rsid w:val="00E11E74"/>
    <w:rsid w:val="00E8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FA0D"/>
  <w15:chartTrackingRefBased/>
  <w15:docId w15:val="{02A83C98-99AB-40D6-8743-C4045AFE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80F"/>
    <w:pPr>
      <w:spacing w:after="0" w:line="276" w:lineRule="auto"/>
    </w:pPr>
    <w:rPr>
      <w:rFonts w:ascii="Arial" w:eastAsia="Arial" w:hAnsi="Arial" w:cs="Arial"/>
      <w:kern w:val="0"/>
      <w:lang w:eastAsia="es-MX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8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8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8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8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80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8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80F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80F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80F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80F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80F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80F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80F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877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80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80F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877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80F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877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80F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877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362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9</cp:revision>
  <dcterms:created xsi:type="dcterms:W3CDTF">2024-04-30T03:57:00Z</dcterms:created>
  <dcterms:modified xsi:type="dcterms:W3CDTF">2024-05-10T04:29:00Z</dcterms:modified>
</cp:coreProperties>
</file>