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815E" w14:textId="674F5E9D" w:rsidR="00C6229F" w:rsidRDefault="7CB09936" w:rsidP="40D5D64B">
      <w:pPr>
        <w:spacing w:line="300" w:lineRule="exact"/>
        <w:rPr>
          <w:rFonts w:ascii="Segoe UI" w:eastAsia="Segoe UI" w:hAnsi="Segoe UI" w:cs="Segoe UI"/>
          <w:b/>
          <w:bCs/>
          <w:color w:val="323130"/>
          <w:sz w:val="21"/>
          <w:szCs w:val="21"/>
        </w:rPr>
      </w:pPr>
      <w:r w:rsidRPr="40D5D64B">
        <w:rPr>
          <w:rFonts w:ascii="Segoe UI" w:eastAsia="Segoe UI" w:hAnsi="Segoe UI" w:cs="Segoe UI"/>
          <w:b/>
          <w:bCs/>
          <w:color w:val="323130"/>
          <w:sz w:val="21"/>
          <w:szCs w:val="21"/>
        </w:rPr>
        <w:t>Transcript – The Circular Flow of Income</w:t>
      </w:r>
    </w:p>
    <w:p w14:paraId="09A0F402" w14:textId="13C6516D" w:rsidR="00C6229F" w:rsidRDefault="00C6229F" w:rsidP="40D5D64B">
      <w:pPr>
        <w:spacing w:line="300" w:lineRule="exact"/>
        <w:rPr>
          <w:rFonts w:ascii="Segoe UI" w:eastAsia="Segoe UI" w:hAnsi="Segoe UI" w:cs="Segoe UI"/>
          <w:color w:val="323130"/>
          <w:sz w:val="21"/>
          <w:szCs w:val="21"/>
        </w:rPr>
      </w:pPr>
    </w:p>
    <w:p w14:paraId="7845FE0A" w14:textId="129C1878" w:rsidR="00C6229F" w:rsidRDefault="1B2FD593" w:rsidP="40D5D64B">
      <w:pPr>
        <w:spacing w:line="300" w:lineRule="exact"/>
      </w:pPr>
      <w:r w:rsidRPr="40D5D64B">
        <w:rPr>
          <w:rFonts w:ascii="Segoe UI" w:eastAsia="Segoe UI" w:hAnsi="Segoe UI" w:cs="Segoe UI"/>
          <w:color w:val="323130"/>
          <w:sz w:val="21"/>
          <w:szCs w:val="21"/>
        </w:rPr>
        <w:t>The circular flow of income is a diagram which depicts a simplified representation of the UK economy.</w:t>
      </w:r>
    </w:p>
    <w:p w14:paraId="57A8C0FC" w14:textId="5FEFD1EE" w:rsidR="00C6229F" w:rsidRDefault="1B2FD593" w:rsidP="40D5D64B">
      <w:pPr>
        <w:spacing w:line="300" w:lineRule="exact"/>
      </w:pPr>
      <w:r w:rsidRPr="40D5D64B">
        <w:rPr>
          <w:rFonts w:ascii="Segoe UI" w:eastAsia="Segoe UI" w:hAnsi="Segoe UI" w:cs="Segoe UI"/>
          <w:color w:val="323130"/>
          <w:sz w:val="21"/>
          <w:szCs w:val="21"/>
        </w:rPr>
        <w:t>Will use it to introduce the different types of transactions recorded in national accounts.</w:t>
      </w:r>
    </w:p>
    <w:p w14:paraId="0172EFA0" w14:textId="1F0DFCC3" w:rsidR="00C6229F" w:rsidRDefault="1B2FD593" w:rsidP="40D5D64B">
      <w:pPr>
        <w:spacing w:line="300" w:lineRule="exact"/>
      </w:pPr>
      <w:r w:rsidRPr="40D5D64B">
        <w:rPr>
          <w:rFonts w:ascii="Segoe UI" w:eastAsia="Segoe UI" w:hAnsi="Segoe UI" w:cs="Segoe UI"/>
          <w:color w:val="323130"/>
          <w:sz w:val="21"/>
          <w:szCs w:val="21"/>
        </w:rPr>
        <w:t>Transactions are often referred to as flows.</w:t>
      </w:r>
    </w:p>
    <w:p w14:paraId="3BF46751" w14:textId="4B02D444" w:rsidR="00C6229F" w:rsidRDefault="1B2FD593" w:rsidP="40D5D64B">
      <w:pPr>
        <w:spacing w:line="300" w:lineRule="exact"/>
      </w:pPr>
      <w:r w:rsidRPr="40D5D64B">
        <w:rPr>
          <w:rFonts w:ascii="Segoe UI" w:eastAsia="Segoe UI" w:hAnsi="Segoe UI" w:cs="Segoe UI"/>
          <w:color w:val="323130"/>
          <w:sz w:val="21"/>
          <w:szCs w:val="21"/>
        </w:rPr>
        <w:t>On the left we have the corporations which exist to make money by selling goods and services.</w:t>
      </w:r>
    </w:p>
    <w:p w14:paraId="42E93A7E" w14:textId="46219AE9" w:rsidR="00C6229F" w:rsidRDefault="1B2FD593" w:rsidP="40D5D64B">
      <w:pPr>
        <w:spacing w:line="300" w:lineRule="exact"/>
      </w:pPr>
      <w:r w:rsidRPr="40D5D64B">
        <w:rPr>
          <w:rFonts w:ascii="Segoe UI" w:eastAsia="Segoe UI" w:hAnsi="Segoe UI" w:cs="Segoe UI"/>
          <w:color w:val="323130"/>
          <w:sz w:val="21"/>
          <w:szCs w:val="21"/>
        </w:rPr>
        <w:t>At the bottom we have the government sector. This includes local and central government.</w:t>
      </w:r>
    </w:p>
    <w:p w14:paraId="67ED8C97" w14:textId="3A8CE552" w:rsidR="00C6229F" w:rsidRDefault="1B2FD593" w:rsidP="40D5D64B">
      <w:pPr>
        <w:spacing w:line="300" w:lineRule="exact"/>
      </w:pPr>
      <w:r w:rsidRPr="40D5D64B">
        <w:rPr>
          <w:rFonts w:ascii="Segoe UI" w:eastAsia="Segoe UI" w:hAnsi="Segoe UI" w:cs="Segoe UI"/>
          <w:color w:val="323130"/>
          <w:sz w:val="21"/>
          <w:szCs w:val="21"/>
        </w:rPr>
        <w:t>Government provides services and redistributes money.</w:t>
      </w:r>
    </w:p>
    <w:p w14:paraId="19971318" w14:textId="2506D23C" w:rsidR="00C6229F" w:rsidRDefault="1B2FD593" w:rsidP="40D5D64B">
      <w:pPr>
        <w:spacing w:line="300" w:lineRule="exact"/>
      </w:pPr>
      <w:r w:rsidRPr="40D5D64B">
        <w:rPr>
          <w:rFonts w:ascii="Segoe UI" w:eastAsia="Segoe UI" w:hAnsi="Segoe UI" w:cs="Segoe UI"/>
          <w:color w:val="323130"/>
          <w:sz w:val="21"/>
          <w:szCs w:val="21"/>
        </w:rPr>
        <w:t>The sector includes civil service units such as the Office for National Statistics.</w:t>
      </w:r>
    </w:p>
    <w:p w14:paraId="5DF5C125" w14:textId="18E7DCBA" w:rsidR="00C6229F" w:rsidRDefault="1B2FD593" w:rsidP="40D5D64B">
      <w:pPr>
        <w:spacing w:line="300" w:lineRule="exact"/>
      </w:pPr>
      <w:r w:rsidRPr="40D5D64B">
        <w:rPr>
          <w:rFonts w:ascii="Segoe UI" w:eastAsia="Segoe UI" w:hAnsi="Segoe UI" w:cs="Segoe UI"/>
          <w:color w:val="323130"/>
          <w:sz w:val="21"/>
          <w:szCs w:val="21"/>
        </w:rPr>
        <w:t>The household sector to the right mainly consumes, but also produces goods and services.</w:t>
      </w:r>
    </w:p>
    <w:p w14:paraId="1F3E4736" w14:textId="77DE2647" w:rsidR="00C6229F" w:rsidRDefault="1B2FD593" w:rsidP="40D5D64B">
      <w:pPr>
        <w:spacing w:line="300" w:lineRule="exact"/>
      </w:pPr>
      <w:r w:rsidRPr="40D5D64B">
        <w:rPr>
          <w:rFonts w:ascii="Segoe UI" w:eastAsia="Segoe UI" w:hAnsi="Segoe UI" w:cs="Segoe UI"/>
          <w:color w:val="323130"/>
          <w:sz w:val="21"/>
          <w:szCs w:val="21"/>
        </w:rPr>
        <w:t>And of course, the UK economy interacts with the rest of the world in the form of exports and imports of goods and services.</w:t>
      </w:r>
    </w:p>
    <w:p w14:paraId="3BD381E7" w14:textId="4AECF7A1" w:rsidR="00C6229F" w:rsidRDefault="1B2FD593" w:rsidP="40D5D64B">
      <w:pPr>
        <w:spacing w:line="300" w:lineRule="exact"/>
      </w:pPr>
      <w:r w:rsidRPr="40D5D64B">
        <w:rPr>
          <w:rFonts w:ascii="Segoe UI" w:eastAsia="Segoe UI" w:hAnsi="Segoe UI" w:cs="Segoe UI"/>
          <w:color w:val="323130"/>
          <w:sz w:val="21"/>
          <w:szCs w:val="21"/>
        </w:rPr>
        <w:t>Now let's take a look at how money flows between these sectors.</w:t>
      </w:r>
    </w:p>
    <w:p w14:paraId="13790FAE" w14:textId="66E933C9" w:rsidR="00C6229F" w:rsidRDefault="1B2FD593" w:rsidP="40D5D64B">
      <w:pPr>
        <w:spacing w:line="300" w:lineRule="exact"/>
      </w:pPr>
      <w:r w:rsidRPr="40D5D64B">
        <w:rPr>
          <w:rFonts w:ascii="Segoe UI" w:eastAsia="Segoe UI" w:hAnsi="Segoe UI" w:cs="Segoe UI"/>
          <w:color w:val="323130"/>
          <w:sz w:val="21"/>
          <w:szCs w:val="21"/>
        </w:rPr>
        <w:t>Benefits form a substantial flow from government to households.</w:t>
      </w:r>
    </w:p>
    <w:p w14:paraId="5EE8B9BA" w14:textId="586D577A" w:rsidR="00C6229F" w:rsidRDefault="1B2FD593" w:rsidP="40D5D64B">
      <w:pPr>
        <w:spacing w:line="300" w:lineRule="exact"/>
      </w:pPr>
      <w:r w:rsidRPr="40D5D64B">
        <w:rPr>
          <w:rFonts w:ascii="Segoe UI" w:eastAsia="Segoe UI" w:hAnsi="Segoe UI" w:cs="Segoe UI"/>
          <w:color w:val="323130"/>
          <w:sz w:val="21"/>
          <w:szCs w:val="21"/>
        </w:rPr>
        <w:t>Examples of these include Universal Credit and state pension.</w:t>
      </w:r>
    </w:p>
    <w:p w14:paraId="24E8DD0C" w14:textId="4FB0F394" w:rsidR="00C6229F" w:rsidRDefault="1B2FD593" w:rsidP="40D5D64B">
      <w:pPr>
        <w:spacing w:line="300" w:lineRule="exact"/>
      </w:pPr>
      <w:r w:rsidRPr="40D5D64B">
        <w:rPr>
          <w:rFonts w:ascii="Segoe UI" w:eastAsia="Segoe UI" w:hAnsi="Segoe UI" w:cs="Segoe UI"/>
          <w:color w:val="323130"/>
          <w:sz w:val="21"/>
          <w:szCs w:val="21"/>
        </w:rPr>
        <w:t>These are cash benefits, but government also provides benefits in kind, such as vaccinations provided by the NHS.</w:t>
      </w:r>
    </w:p>
    <w:p w14:paraId="59B995B4" w14:textId="134B6548" w:rsidR="00C6229F" w:rsidRDefault="1B2FD593" w:rsidP="40D5D64B">
      <w:pPr>
        <w:spacing w:line="300" w:lineRule="exact"/>
      </w:pPr>
      <w:r w:rsidRPr="40D5D64B">
        <w:rPr>
          <w:rFonts w:ascii="Segoe UI" w:eastAsia="Segoe UI" w:hAnsi="Segoe UI" w:cs="Segoe UI"/>
          <w:color w:val="323130"/>
          <w:sz w:val="21"/>
          <w:szCs w:val="21"/>
        </w:rPr>
        <w:t>Households pay taxes to government, for example, property tax and income tax.</w:t>
      </w:r>
    </w:p>
    <w:p w14:paraId="2FDF95DD" w14:textId="7E0A5123" w:rsidR="00C6229F" w:rsidRDefault="1B2FD593" w:rsidP="40D5D64B">
      <w:pPr>
        <w:spacing w:line="300" w:lineRule="exact"/>
      </w:pPr>
      <w:r w:rsidRPr="40D5D64B">
        <w:rPr>
          <w:rFonts w:ascii="Segoe UI" w:eastAsia="Segoe UI" w:hAnsi="Segoe UI" w:cs="Segoe UI"/>
          <w:color w:val="323130"/>
          <w:sz w:val="21"/>
          <w:szCs w:val="21"/>
        </w:rPr>
        <w:t>Corporations also pay tax to the government sector, for example in business rates.</w:t>
      </w:r>
    </w:p>
    <w:p w14:paraId="56BE7698" w14:textId="63F4D919" w:rsidR="00C6229F" w:rsidRDefault="1B2FD593" w:rsidP="40D5D64B">
      <w:pPr>
        <w:spacing w:line="300" w:lineRule="exact"/>
      </w:pPr>
      <w:r w:rsidRPr="40D5D64B">
        <w:rPr>
          <w:rFonts w:ascii="Segoe UI" w:eastAsia="Segoe UI" w:hAnsi="Segoe UI" w:cs="Segoe UI"/>
          <w:color w:val="323130"/>
          <w:sz w:val="21"/>
          <w:szCs w:val="21"/>
        </w:rPr>
        <w:t>Money flows from the government sector to the corporate sectors in the form of subsidies.</w:t>
      </w:r>
    </w:p>
    <w:p w14:paraId="0C431F99" w14:textId="638F7142" w:rsidR="00C6229F" w:rsidRDefault="1B2FD593" w:rsidP="40D5D64B">
      <w:pPr>
        <w:spacing w:line="300" w:lineRule="exact"/>
      </w:pPr>
      <w:r w:rsidRPr="40D5D64B">
        <w:rPr>
          <w:rFonts w:ascii="Segoe UI" w:eastAsia="Segoe UI" w:hAnsi="Segoe UI" w:cs="Segoe UI"/>
          <w:color w:val="323130"/>
          <w:sz w:val="21"/>
          <w:szCs w:val="21"/>
        </w:rPr>
        <w:t>At the top of the diagram you'll see arrows representing both imports and exports to the UK.</w:t>
      </w:r>
    </w:p>
    <w:p w14:paraId="07E2276F" w14:textId="48F7A519" w:rsidR="00C6229F" w:rsidRDefault="1B2FD593" w:rsidP="40D5D64B">
      <w:pPr>
        <w:spacing w:line="300" w:lineRule="exact"/>
      </w:pPr>
      <w:r w:rsidRPr="40D5D64B">
        <w:rPr>
          <w:rFonts w:ascii="Segoe UI" w:eastAsia="Segoe UI" w:hAnsi="Segoe UI" w:cs="Segoe UI"/>
          <w:color w:val="323130"/>
          <w:sz w:val="21"/>
          <w:szCs w:val="21"/>
        </w:rPr>
        <w:t>These could be either goods or services.</w:t>
      </w:r>
    </w:p>
    <w:p w14:paraId="07F726E0" w14:textId="1BA0649D" w:rsidR="00C6229F" w:rsidRDefault="1B2FD593" w:rsidP="40D5D64B">
      <w:pPr>
        <w:spacing w:line="300" w:lineRule="exact"/>
      </w:pPr>
      <w:r w:rsidRPr="40D5D64B">
        <w:rPr>
          <w:rFonts w:ascii="Segoe UI" w:eastAsia="Segoe UI" w:hAnsi="Segoe UI" w:cs="Segoe UI"/>
          <w:color w:val="323130"/>
          <w:sz w:val="21"/>
          <w:szCs w:val="21"/>
        </w:rPr>
        <w:t>At first glance, you might think the arrows are the wrong way round.</w:t>
      </w:r>
    </w:p>
    <w:p w14:paraId="20718AF0" w14:textId="1AEB1315" w:rsidR="00C6229F" w:rsidRDefault="1B2FD593" w:rsidP="40D5D64B">
      <w:pPr>
        <w:spacing w:line="300" w:lineRule="exact"/>
      </w:pPr>
      <w:r w:rsidRPr="40D5D64B">
        <w:rPr>
          <w:rFonts w:ascii="Segoe UI" w:eastAsia="Segoe UI" w:hAnsi="Segoe UI" w:cs="Segoe UI"/>
          <w:color w:val="323130"/>
          <w:sz w:val="21"/>
          <w:szCs w:val="21"/>
        </w:rPr>
        <w:t>Remember, we're looking at the flow of income in this diagram, not the flow of goods and services.</w:t>
      </w:r>
    </w:p>
    <w:p w14:paraId="7CD62ACD" w14:textId="0A4AEEB3" w:rsidR="00C6229F" w:rsidRDefault="1B2FD593" w:rsidP="40D5D64B">
      <w:pPr>
        <w:spacing w:line="300" w:lineRule="exact"/>
      </w:pPr>
      <w:r w:rsidRPr="40D5D64B">
        <w:rPr>
          <w:rFonts w:ascii="Segoe UI" w:eastAsia="Segoe UI" w:hAnsi="Segoe UI" w:cs="Segoe UI"/>
          <w:color w:val="323130"/>
          <w:sz w:val="21"/>
          <w:szCs w:val="21"/>
        </w:rPr>
        <w:t>When goods and services are exported from the UK, money flows into the UK in the form of payment.</w:t>
      </w:r>
    </w:p>
    <w:p w14:paraId="7F1E51EE" w14:textId="3402842C" w:rsidR="00C6229F" w:rsidRDefault="1B2FD593" w:rsidP="40D5D64B">
      <w:pPr>
        <w:spacing w:line="300" w:lineRule="exact"/>
      </w:pPr>
      <w:r w:rsidRPr="40D5D64B">
        <w:rPr>
          <w:rFonts w:ascii="Segoe UI" w:eastAsia="Segoe UI" w:hAnsi="Segoe UI" w:cs="Segoe UI"/>
          <w:color w:val="323130"/>
          <w:sz w:val="21"/>
          <w:szCs w:val="21"/>
        </w:rPr>
        <w:t>Similarly, when the UK imports goods and services, money leaves the UK as these goods and services need to be paid for.</w:t>
      </w:r>
    </w:p>
    <w:p w14:paraId="4D8E4AC1" w14:textId="65572945" w:rsidR="00C6229F" w:rsidRDefault="1B2FD593" w:rsidP="40D5D64B">
      <w:pPr>
        <w:spacing w:line="300" w:lineRule="exact"/>
      </w:pPr>
      <w:r w:rsidRPr="40D5D64B">
        <w:rPr>
          <w:rFonts w:ascii="Segoe UI" w:eastAsia="Segoe UI" w:hAnsi="Segoe UI" w:cs="Segoe UI"/>
          <w:color w:val="323130"/>
          <w:sz w:val="21"/>
          <w:szCs w:val="21"/>
        </w:rPr>
        <w:t>Output is an important concept. Output is the value of the goods and services manufactured during the accountancy period.</w:t>
      </w:r>
    </w:p>
    <w:p w14:paraId="508AD4A1" w14:textId="12D548BC" w:rsidR="00C6229F" w:rsidRDefault="1B2FD593" w:rsidP="40D5D64B">
      <w:pPr>
        <w:spacing w:line="300" w:lineRule="exact"/>
      </w:pPr>
      <w:r w:rsidRPr="40D5D64B">
        <w:rPr>
          <w:rFonts w:ascii="Segoe UI" w:eastAsia="Segoe UI" w:hAnsi="Segoe UI" w:cs="Segoe UI"/>
          <w:color w:val="323130"/>
          <w:sz w:val="21"/>
          <w:szCs w:val="21"/>
        </w:rPr>
        <w:t>Intermediate consumption describes goods and services used up in the production process.</w:t>
      </w:r>
    </w:p>
    <w:p w14:paraId="585D3AA6" w14:textId="17F4F176" w:rsidR="00C6229F" w:rsidRDefault="1B2FD593" w:rsidP="40D5D64B">
      <w:pPr>
        <w:spacing w:line="300" w:lineRule="exact"/>
      </w:pPr>
      <w:r w:rsidRPr="40D5D64B">
        <w:rPr>
          <w:rFonts w:ascii="Segoe UI" w:eastAsia="Segoe UI" w:hAnsi="Segoe UI" w:cs="Segoe UI"/>
          <w:color w:val="323130"/>
          <w:sz w:val="21"/>
          <w:szCs w:val="21"/>
        </w:rPr>
        <w:lastRenderedPageBreak/>
        <w:t>It includes expenditure and raw material, utility bills, fuel for vehicles and routine maintenance.</w:t>
      </w:r>
    </w:p>
    <w:p w14:paraId="5EAB37EC" w14:textId="028EE565" w:rsidR="00C6229F" w:rsidRDefault="1B2FD593" w:rsidP="40D5D64B">
      <w:pPr>
        <w:spacing w:line="300" w:lineRule="exact"/>
      </w:pPr>
      <w:r w:rsidRPr="40D5D64B">
        <w:rPr>
          <w:rFonts w:ascii="Segoe UI" w:eastAsia="Segoe UI" w:hAnsi="Segoe UI" w:cs="Segoe UI"/>
          <w:color w:val="323130"/>
          <w:sz w:val="21"/>
          <w:szCs w:val="21"/>
        </w:rPr>
        <w:t>It also includes ink for the printer as well as paper for the printer, but not the printer itself.</w:t>
      </w:r>
    </w:p>
    <w:p w14:paraId="0AF8FAD1" w14:textId="2C0E4200" w:rsidR="00C6229F" w:rsidRDefault="1B2FD593" w:rsidP="40D5D64B">
      <w:pPr>
        <w:spacing w:line="300" w:lineRule="exact"/>
      </w:pPr>
      <w:r w:rsidRPr="40D5D64B">
        <w:rPr>
          <w:rFonts w:ascii="Segoe UI" w:eastAsia="Segoe UI" w:hAnsi="Segoe UI" w:cs="Segoe UI"/>
          <w:color w:val="323130"/>
          <w:sz w:val="21"/>
          <w:szCs w:val="21"/>
        </w:rPr>
        <w:t>Gross fixed capital formation describes the purchase and disposal of items used again and again, including buildings, vehicles and machinery.</w:t>
      </w:r>
    </w:p>
    <w:p w14:paraId="23A28CD2" w14:textId="1B7B6255" w:rsidR="00C6229F" w:rsidRDefault="1B2FD593" w:rsidP="40D5D64B">
      <w:pPr>
        <w:spacing w:line="300" w:lineRule="exact"/>
      </w:pPr>
      <w:r w:rsidRPr="40D5D64B">
        <w:rPr>
          <w:rFonts w:ascii="Segoe UI" w:eastAsia="Segoe UI" w:hAnsi="Segoe UI" w:cs="Segoe UI"/>
          <w:color w:val="323130"/>
          <w:sz w:val="21"/>
          <w:szCs w:val="21"/>
        </w:rPr>
        <w:t>The purchase of a printer by a business would be an example of gross fixed capital formation, as the printer can be used over and over, unlike the ink for the printer or even the paper which is used up in the production process.</w:t>
      </w:r>
    </w:p>
    <w:p w14:paraId="045C85E6" w14:textId="755B246B" w:rsidR="00C6229F" w:rsidRDefault="1B2FD593" w:rsidP="40D5D64B">
      <w:pPr>
        <w:spacing w:line="300" w:lineRule="exact"/>
      </w:pPr>
      <w:r w:rsidRPr="40D5D64B">
        <w:rPr>
          <w:rFonts w:ascii="Segoe UI" w:eastAsia="Segoe UI" w:hAnsi="Segoe UI" w:cs="Segoe UI"/>
          <w:color w:val="323130"/>
          <w:sz w:val="21"/>
          <w:szCs w:val="21"/>
        </w:rPr>
        <w:t>Not all purchases of output are for the purposes of production.</w:t>
      </w:r>
    </w:p>
    <w:p w14:paraId="3377B1D9" w14:textId="4F34AF0C" w:rsidR="00C6229F" w:rsidRDefault="1B2FD593" w:rsidP="40D5D64B">
      <w:pPr>
        <w:spacing w:line="300" w:lineRule="exact"/>
      </w:pPr>
      <w:r w:rsidRPr="40D5D64B">
        <w:rPr>
          <w:rFonts w:ascii="Segoe UI" w:eastAsia="Segoe UI" w:hAnsi="Segoe UI" w:cs="Segoe UI"/>
          <w:color w:val="323130"/>
          <w:sz w:val="21"/>
          <w:szCs w:val="21"/>
        </w:rPr>
        <w:t>When a consumer buys a cup of coffee from a coffee shop, it is output from the point of view of the coffee shop.</w:t>
      </w:r>
    </w:p>
    <w:p w14:paraId="4BDC9B10" w14:textId="57530A28" w:rsidR="00C6229F" w:rsidRDefault="1B2FD593" w:rsidP="40D5D64B">
      <w:pPr>
        <w:spacing w:line="300" w:lineRule="exact"/>
      </w:pPr>
      <w:r w:rsidRPr="40D5D64B">
        <w:rPr>
          <w:rFonts w:ascii="Segoe UI" w:eastAsia="Segoe UI" w:hAnsi="Segoe UI" w:cs="Segoe UI"/>
          <w:color w:val="323130"/>
          <w:sz w:val="21"/>
          <w:szCs w:val="21"/>
        </w:rPr>
        <w:t>From the householders point of view, it is final consumption expenditure.</w:t>
      </w:r>
    </w:p>
    <w:p w14:paraId="7025F211" w14:textId="5A3E25CA" w:rsidR="00C6229F" w:rsidRDefault="1B2FD593" w:rsidP="40D5D64B">
      <w:pPr>
        <w:spacing w:line="300" w:lineRule="exact"/>
      </w:pPr>
      <w:r w:rsidRPr="40D5D64B">
        <w:rPr>
          <w:rFonts w:ascii="Segoe UI" w:eastAsia="Segoe UI" w:hAnsi="Segoe UI" w:cs="Segoe UI"/>
          <w:color w:val="323130"/>
          <w:sz w:val="21"/>
          <w:szCs w:val="21"/>
        </w:rPr>
        <w:t>Final consumption expenditure is goods and services purchased, not for use in production, but to satisfy the wants and needs of individuals.</w:t>
      </w:r>
    </w:p>
    <w:p w14:paraId="05EE05DB" w14:textId="49AD61A3" w:rsidR="00C6229F" w:rsidRDefault="1B2FD593" w:rsidP="40D5D64B">
      <w:pPr>
        <w:spacing w:line="300" w:lineRule="exact"/>
      </w:pPr>
      <w:r w:rsidRPr="40D5D64B">
        <w:rPr>
          <w:rFonts w:ascii="Segoe UI" w:eastAsia="Segoe UI" w:hAnsi="Segoe UI" w:cs="Segoe UI"/>
          <w:color w:val="323130"/>
          <w:sz w:val="21"/>
          <w:szCs w:val="21"/>
        </w:rPr>
        <w:t>It includes expenditure on household utility bills, holidays, clothes and grocery shopping.</w:t>
      </w:r>
    </w:p>
    <w:p w14:paraId="01CA47B8" w14:textId="6C68A9A3" w:rsidR="00C6229F" w:rsidRDefault="1B2FD593" w:rsidP="40D5D64B">
      <w:pPr>
        <w:spacing w:line="300" w:lineRule="exact"/>
      </w:pPr>
      <w:r w:rsidRPr="40D5D64B">
        <w:rPr>
          <w:rFonts w:ascii="Segoe UI" w:eastAsia="Segoe UI" w:hAnsi="Segoe UI" w:cs="Segoe UI"/>
          <w:color w:val="323130"/>
          <w:sz w:val="21"/>
          <w:szCs w:val="21"/>
        </w:rPr>
        <w:t>Note that all the flows we have looked at have two sides.</w:t>
      </w:r>
    </w:p>
    <w:p w14:paraId="77D7134E" w14:textId="4A7AB9F5" w:rsidR="00C6229F" w:rsidRDefault="1B2FD593" w:rsidP="40D5D64B">
      <w:pPr>
        <w:spacing w:line="300" w:lineRule="exact"/>
      </w:pPr>
      <w:r w:rsidRPr="40D5D64B">
        <w:rPr>
          <w:rFonts w:ascii="Segoe UI" w:eastAsia="Segoe UI" w:hAnsi="Segoe UI" w:cs="Segoe UI"/>
          <w:color w:val="323130"/>
          <w:sz w:val="21"/>
          <w:szCs w:val="21"/>
        </w:rPr>
        <w:t>When a coffee shop sells a coffee, it is output from one sector's point of view and final consumption expenditure from the household point of view.</w:t>
      </w:r>
    </w:p>
    <w:p w14:paraId="099B770C" w14:textId="5C41EDC2" w:rsidR="00C6229F" w:rsidRDefault="1B2FD593" w:rsidP="40D5D64B">
      <w:pPr>
        <w:spacing w:line="300" w:lineRule="exact"/>
      </w:pPr>
      <w:r w:rsidRPr="40D5D64B">
        <w:rPr>
          <w:rFonts w:ascii="Segoe UI" w:eastAsia="Segoe UI" w:hAnsi="Segoe UI" w:cs="Segoe UI"/>
          <w:color w:val="323130"/>
          <w:sz w:val="21"/>
          <w:szCs w:val="21"/>
        </w:rPr>
        <w:t>When the tractor factory sells a tractor,</w:t>
      </w:r>
    </w:p>
    <w:p w14:paraId="4F917DB2" w14:textId="5D1AF0CD" w:rsidR="00C6229F" w:rsidRDefault="1B2FD593" w:rsidP="40D5D64B">
      <w:pPr>
        <w:spacing w:line="300" w:lineRule="exact"/>
      </w:pPr>
      <w:r w:rsidRPr="40D5D64B">
        <w:rPr>
          <w:rFonts w:ascii="Segoe UI" w:eastAsia="Segoe UI" w:hAnsi="Segoe UI" w:cs="Segoe UI"/>
          <w:color w:val="323130"/>
          <w:sz w:val="21"/>
          <w:szCs w:val="21"/>
        </w:rPr>
        <w:t>it has both output from the factories point of view and fixed capital formation from the purchasers point of view.</w:t>
      </w:r>
    </w:p>
    <w:p w14:paraId="7BB9FCFE" w14:textId="7DBDC862" w:rsidR="00C6229F" w:rsidRDefault="1B2FD593" w:rsidP="40D5D64B">
      <w:pPr>
        <w:spacing w:line="300" w:lineRule="exact"/>
      </w:pPr>
      <w:r w:rsidRPr="40D5D64B">
        <w:rPr>
          <w:rFonts w:ascii="Segoe UI" w:eastAsia="Segoe UI" w:hAnsi="Segoe UI" w:cs="Segoe UI"/>
          <w:color w:val="323130"/>
          <w:sz w:val="21"/>
          <w:szCs w:val="21"/>
        </w:rPr>
        <w:t>Payments to workers do not fall within the definition of intermediate consumption because workers are not used up in the production process.</w:t>
      </w:r>
    </w:p>
    <w:p w14:paraId="5EDCD2E4" w14:textId="6EF9F418" w:rsidR="00C6229F" w:rsidRDefault="1B2FD593" w:rsidP="40D5D64B">
      <w:pPr>
        <w:spacing w:line="300" w:lineRule="exact"/>
      </w:pPr>
      <w:r w:rsidRPr="40D5D64B">
        <w:rPr>
          <w:rFonts w:ascii="Segoe UI" w:eastAsia="Segoe UI" w:hAnsi="Segoe UI" w:cs="Segoe UI"/>
          <w:color w:val="323130"/>
          <w:sz w:val="21"/>
          <w:szCs w:val="21"/>
        </w:rPr>
        <w:t>Wages and salaries form part of the compensation of employees.</w:t>
      </w:r>
    </w:p>
    <w:p w14:paraId="49586C5B" w14:textId="64B14444" w:rsidR="00C6229F" w:rsidRDefault="1B2FD593" w:rsidP="40D5D64B">
      <w:pPr>
        <w:spacing w:line="300" w:lineRule="exact"/>
      </w:pPr>
      <w:r w:rsidRPr="40D5D64B">
        <w:rPr>
          <w:rFonts w:ascii="Segoe UI" w:eastAsia="Segoe UI" w:hAnsi="Segoe UI" w:cs="Segoe UI"/>
          <w:color w:val="323130"/>
          <w:sz w:val="21"/>
          <w:szCs w:val="21"/>
        </w:rPr>
        <w:t>Compensation of employees includes wages and salaries and other payments by employers on an employee's behalf.</w:t>
      </w:r>
    </w:p>
    <w:p w14:paraId="75C9244B" w14:textId="74555316" w:rsidR="00C6229F" w:rsidRDefault="1B2FD593" w:rsidP="40D5D64B">
      <w:pPr>
        <w:spacing w:line="300" w:lineRule="exact"/>
      </w:pPr>
      <w:r w:rsidRPr="40D5D64B">
        <w:rPr>
          <w:rFonts w:ascii="Segoe UI" w:eastAsia="Segoe UI" w:hAnsi="Segoe UI" w:cs="Segoe UI"/>
          <w:color w:val="323130"/>
          <w:sz w:val="21"/>
          <w:szCs w:val="21"/>
        </w:rPr>
        <w:t>Mainly pension contributions and National Insurance contributions.</w:t>
      </w:r>
    </w:p>
    <w:p w14:paraId="723C1FEE" w14:textId="278D88B5" w:rsidR="00C6229F" w:rsidRDefault="1B2FD593" w:rsidP="40D5D64B">
      <w:pPr>
        <w:spacing w:line="300" w:lineRule="exact"/>
      </w:pPr>
      <w:r w:rsidRPr="40D5D64B">
        <w:rPr>
          <w:rFonts w:ascii="Segoe UI" w:eastAsia="Segoe UI" w:hAnsi="Segoe UI" w:cs="Segoe UI"/>
          <w:color w:val="323130"/>
          <w:sz w:val="21"/>
          <w:szCs w:val="21"/>
        </w:rPr>
        <w:t>Finally, we have mixed income.</w:t>
      </w:r>
    </w:p>
    <w:p w14:paraId="6F29B1A4" w14:textId="735A5822" w:rsidR="00C6229F" w:rsidRDefault="1B2FD593" w:rsidP="40D5D64B">
      <w:pPr>
        <w:spacing w:line="300" w:lineRule="exact"/>
      </w:pPr>
      <w:r w:rsidRPr="40D5D64B">
        <w:rPr>
          <w:rFonts w:ascii="Segoe UI" w:eastAsia="Segoe UI" w:hAnsi="Segoe UI" w:cs="Segoe UI"/>
          <w:color w:val="323130"/>
          <w:sz w:val="21"/>
          <w:szCs w:val="21"/>
        </w:rPr>
        <w:t>Mixed income is the income of the self-employed.</w:t>
      </w:r>
    </w:p>
    <w:p w14:paraId="385FD8E5" w14:textId="25D19C93" w:rsidR="00C6229F" w:rsidRDefault="1B2FD593" w:rsidP="40D5D64B">
      <w:pPr>
        <w:spacing w:line="300" w:lineRule="exact"/>
      </w:pPr>
      <w:r w:rsidRPr="40D5D64B">
        <w:rPr>
          <w:rFonts w:ascii="Segoe UI" w:eastAsia="Segoe UI" w:hAnsi="Segoe UI" w:cs="Segoe UI"/>
          <w:color w:val="323130"/>
          <w:sz w:val="21"/>
          <w:szCs w:val="21"/>
        </w:rPr>
        <w:t>We say it is mixed because it's not just a return on labour. If we pay a plumber to install the new heat source pump for us, we're not just paying them for their labour, we're paying them for their capital.</w:t>
      </w:r>
    </w:p>
    <w:p w14:paraId="69CDC8E3" w14:textId="1B38D48F" w:rsidR="00C6229F" w:rsidRDefault="1B2FD593" w:rsidP="40D5D64B">
      <w:pPr>
        <w:spacing w:line="300" w:lineRule="exact"/>
      </w:pPr>
      <w:r w:rsidRPr="40D5D64B">
        <w:rPr>
          <w:rFonts w:ascii="Segoe UI" w:eastAsia="Segoe UI" w:hAnsi="Segoe UI" w:cs="Segoe UI"/>
          <w:color w:val="323130"/>
          <w:sz w:val="21"/>
          <w:szCs w:val="21"/>
        </w:rPr>
        <w:t>This diagram is referred to as the circular flow of income, and we've used it to introduce some of the main transactions captured within the national accounts.</w:t>
      </w:r>
    </w:p>
    <w:p w14:paraId="5E5787A5" w14:textId="5F326217" w:rsidR="00C6229F" w:rsidRDefault="00C6229F" w:rsidP="40D5D64B"/>
    <w:sectPr w:rsidR="00C622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E3A500"/>
    <w:rsid w:val="009B7E16"/>
    <w:rsid w:val="00C6229F"/>
    <w:rsid w:val="1B2FD593"/>
    <w:rsid w:val="23E3A500"/>
    <w:rsid w:val="283F7283"/>
    <w:rsid w:val="40D5D64B"/>
    <w:rsid w:val="790FB69C"/>
    <w:rsid w:val="7CB09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3A500"/>
  <w15:chartTrackingRefBased/>
  <w15:docId w15:val="{B47C7AD7-8918-4820-8F46-BD063054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tentionType xmlns="63b866ec-3dff-4cd9-972e-66243271eb0b">Notify</RetentionType>
    <Retention xmlns="63b866ec-3dff-4cd9-972e-66243271eb0b">0</Retention>
    <RetentionDate xmlns="63b866ec-3dff-4cd9-972e-66243271eb0b" xsi:nil="true"/>
    <lcf76f155ced4ddcb4097134ff3c332f xmlns="61b127e3-6d0f-437b-92bc-b8a16a0e7759">
      <Terms xmlns="http://schemas.microsoft.com/office/infopath/2007/PartnerControls"/>
    </lcf76f155ced4ddcb4097134ff3c332f>
    <EDRMSOwner xmlns="63b866ec-3dff-4cd9-972e-66243271eb0b" xsi:nil="true"/>
    <Record_Type xmlns="63b866ec-3dff-4cd9-972e-66243271eb0b" xsi:nil="true"/>
    <TaxCatchAll xmlns="63b866ec-3dff-4cd9-972e-66243271eb0b" xsi:nil="true"/>
  </documentManagement>
</p:properties>
</file>

<file path=customXml/item2.xml><?xml version="1.0" encoding="utf-8"?>
<?mso-contentType ?>
<FormTemplates xmlns="http://schemas.microsoft.com/sharepoint/v3/contenttype/forms"/>
</file>

<file path=customXml/item3.xml><?xml version="1.0" encoding="utf-8"?>
<ct:contentTypeSchema xmlns:ct="http://schemas.microsoft.com/office/2006/metadata/contentType" xmlns:ma="http://schemas.microsoft.com/office/2006/metadata/properties/metaAttributes" ct:_="" ma:_="" ma:contentTypeName="Document" ma:contentTypeID="0x01010095F5B0D0EEBF06499F8BE50D643A3AFE" ma:contentTypeVersion="37" ma:contentTypeDescription="Create a new document." ma:contentTypeScope="" ma:versionID="452433f8cbbbff9faccfef8b148405a0">
  <xsd:schema xmlns:xsd="http://www.w3.org/2001/XMLSchema" xmlns:xs="http://www.w3.org/2001/XMLSchema" xmlns:p="http://schemas.microsoft.com/office/2006/metadata/properties" xmlns:ns2="63b866ec-3dff-4cd9-972e-66243271eb0b" xmlns:ns3="61b127e3-6d0f-437b-92bc-b8a16a0e7759" targetNamespace="http://schemas.microsoft.com/office/2006/metadata/properties" ma:root="true" ma:fieldsID="abc84251801a44e1bb27f394a5367f75" ns2:_="" ns3:_="">
    <xsd:import namespace="63b866ec-3dff-4cd9-972e-66243271eb0b"/>
    <xsd:import namespace="61b127e3-6d0f-437b-92bc-b8a16a0e7759"/>
    <xsd:element name="properties">
      <xsd:complexType>
        <xsd:sequence>
          <xsd:element name="documentManagement">
            <xsd:complexType>
              <xsd:all>
                <xsd:element ref="ns2:EDRMSOwner" minOccurs="0"/>
                <xsd:element ref="ns2:Record_Type" minOccurs="0"/>
                <xsd:element ref="ns2:RetentionDate" minOccurs="0"/>
                <xsd:element ref="ns2:RetentionType" minOccurs="0"/>
                <xsd:element ref="ns2:Retention"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866ec-3dff-4cd9-972e-66243271eb0b" elementFormDefault="qualified">
    <xsd:import namespace="http://schemas.microsoft.com/office/2006/documentManagement/types"/>
    <xsd:import namespace="http://schemas.microsoft.com/office/infopath/2007/PartnerControls"/>
    <xsd:element name="EDRMSOwner" ma:index="4" nillable="true" ma:displayName="EDRMSOwner" ma:internalName="EDRMSOwner">
      <xsd:simpleType>
        <xsd:restriction base="dms:Text"/>
      </xsd:simpleType>
    </xsd:element>
    <xsd:element name="Record_Type" ma:index="5" nillable="true" ma:displayName="Record Type" ma:internalName="Record_Type">
      <xsd:simpleType>
        <xsd:union memberTypes="dms:Text">
          <xsd:simpleType>
            <xsd:restriction base="dms:Choice">
              <xsd:enumeration value="Business Plans"/>
              <xsd:enumeration value="Commercial"/>
              <xsd:enumeration value="Correspondence, Guidance etc"/>
              <xsd:enumeration value="Financial"/>
              <xsd:enumeration value="Legislation"/>
              <xsd:enumeration value="Meeting papers (inc. agendas minutes etc)"/>
              <xsd:enumeration value="Policy Papers"/>
              <xsd:enumeration value="Private Office Papers"/>
              <xsd:enumeration value="Programme and Project"/>
              <xsd:enumeration value="Reports"/>
              <xsd:enumeration value="Salaries"/>
              <xsd:enumeration value="Staff Disciplinary Matters"/>
              <xsd:enumeration value="Staff Employment, Career, Health etc"/>
              <xsd:enumeration value="Statistical"/>
              <xsd:enumeration value="Systems"/>
              <xsd:enumeration value="zMigration"/>
            </xsd:restriction>
          </xsd:simpleType>
        </xsd:union>
      </xsd:simpleType>
    </xsd:element>
    <xsd:element name="RetentionDate" ma:index="6" nillable="true" ma:displayName="Retention Date" ma:format="DateOnly" ma:internalName="Retention_x0020_Date">
      <xsd:simpleType>
        <xsd:restriction base="dms:DateTime"/>
      </xsd:simpleType>
    </xsd:element>
    <xsd:element name="RetentionType" ma:index="7" nillable="true" ma:displayName="Retention Type" ma:default="Notify" ma:format="Dropdown" ma:internalName="Retention_x0020_Type" ma:readOnly="false">
      <xsd:simpleType>
        <xsd:restriction base="dms:Choice">
          <xsd:enumeration value="Notify"/>
          <xsd:enumeration value="Delete"/>
          <xsd:enumeration value="Declare"/>
        </xsd:restriction>
      </xsd:simpleType>
    </xsd:element>
    <xsd:element name="Retention" ma:index="8" nillable="true" ma:displayName="Retention" ma:default="0" ma:internalName="Retention">
      <xsd:simpleType>
        <xsd:restriction base="dms:Number"/>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8ac77d9c-1231-49ef-8113-9cc2deb9625d}" ma:internalName="TaxCatchAll" ma:showField="CatchAllData" ma:web="63b866ec-3dff-4cd9-972e-66243271eb0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1b127e3-6d0f-437b-92bc-b8a16a0e7759" elementFormDefault="qualified">
    <xsd:import namespace="http://schemas.microsoft.com/office/2006/documentManagement/types"/>
    <xsd:import namespace="http://schemas.microsoft.com/office/infopath/2007/PartnerControls"/>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f1c754ed-6b8d-47f3-b51f-af8d6409c1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340380-4570-489A-AF61-034D8D615552}">
  <ds:schemaRefs>
    <ds:schemaRef ds:uri="61b127e3-6d0f-437b-92bc-b8a16a0e7759"/>
    <ds:schemaRef ds:uri="http://schemas.microsoft.com/office/2006/documentManagement/types"/>
    <ds:schemaRef ds:uri="http://purl.org/dc/terms/"/>
    <ds:schemaRef ds:uri="http://purl.org/dc/elements/1.1/"/>
    <ds:schemaRef ds:uri="http://purl.org/dc/dcmitype/"/>
    <ds:schemaRef ds:uri="63b866ec-3dff-4cd9-972e-66243271eb0b"/>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0EC16F46-7504-45B2-A884-C09870165EB2}">
  <ds:schemaRefs>
    <ds:schemaRef ds:uri="http://schemas.microsoft.com/sharepoint/v3/contenttype/forms"/>
  </ds:schemaRefs>
</ds:datastoreItem>
</file>

<file path=customXml/itemProps3.xml><?xml version="1.0" encoding="utf-8"?>
<ds:datastoreItem xmlns:ds="http://schemas.openxmlformats.org/officeDocument/2006/customXml" ds:itemID="{E0FDCE8E-3800-4B9A-93D3-372F99354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866ec-3dff-4cd9-972e-66243271eb0b"/>
    <ds:schemaRef ds:uri="61b127e3-6d0f-437b-92bc-b8a16a0e7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Yuille, Kelly</dc:creator>
  <cp:keywords/>
  <dc:description/>
  <cp:lastModifiedBy>Richards, Charlotte</cp:lastModifiedBy>
  <cp:revision>2</cp:revision>
  <dcterms:created xsi:type="dcterms:W3CDTF">2023-11-24T11:25:00Z</dcterms:created>
  <dcterms:modified xsi:type="dcterms:W3CDTF">2023-11-24T11:25:00Z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0x01010095F5B0D0EEBF06499F8BE50D643A3AFE</vt:lpwstr>
  </property>
</Properties>
</file>