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08478" w14:textId="1D4D2A83" w:rsidR="002C35CE" w:rsidRDefault="002C35CE" w:rsidP="002C35CE">
      <w:pPr>
        <w:pStyle w:val="Titre"/>
        <w:jc w:val="center"/>
      </w:pPr>
      <w:r>
        <w:t xml:space="preserve">Documentation projet </w:t>
      </w:r>
      <w:proofErr w:type="spellStart"/>
      <w:r>
        <w:t>InvestQ</w:t>
      </w:r>
      <w:proofErr w:type="spellEnd"/>
    </w:p>
    <w:p w14:paraId="06501907" w14:textId="77777777" w:rsidR="002C35CE" w:rsidRDefault="002C35CE" w:rsidP="002C35CE"/>
    <w:p w14:paraId="35558FFA" w14:textId="32112391" w:rsidR="002C35CE" w:rsidRPr="002C35CE" w:rsidRDefault="002C35CE" w:rsidP="002C35CE">
      <w:pPr>
        <w:pStyle w:val="Titre1"/>
      </w:pPr>
      <w:r>
        <w:t>Liste de ressources utilisées</w:t>
      </w:r>
    </w:p>
    <w:p w14:paraId="0C620439" w14:textId="0E3F4CA2" w:rsidR="00B74B81" w:rsidRDefault="00000000" w:rsidP="004034BD">
      <w:pPr>
        <w:pStyle w:val="Paragraphedeliste"/>
        <w:numPr>
          <w:ilvl w:val="0"/>
          <w:numId w:val="2"/>
        </w:numPr>
        <w:rPr>
          <w:rStyle w:val="Lienhypertexte"/>
        </w:rPr>
      </w:pPr>
      <w:hyperlink r:id="rId5" w:history="1">
        <w:r w:rsidR="002C35CE" w:rsidRPr="004034BD">
          <w:rPr>
            <w:rStyle w:val="Lienhypertexte"/>
          </w:rPr>
          <w:t>Exemple de projet d’apprentissage par renforcement</w:t>
        </w:r>
      </w:hyperlink>
      <w:r w:rsidR="004034BD">
        <w:rPr>
          <w:rStyle w:val="Lienhypertexte"/>
        </w:rPr>
        <w:t xml:space="preserve"> </w:t>
      </w:r>
    </w:p>
    <w:p w14:paraId="0011F6EF" w14:textId="09C96D75" w:rsidR="004034BD" w:rsidRPr="004034BD" w:rsidRDefault="00000000" w:rsidP="004034BD">
      <w:pPr>
        <w:pStyle w:val="Paragraphedeliste"/>
        <w:numPr>
          <w:ilvl w:val="0"/>
          <w:numId w:val="2"/>
        </w:numPr>
        <w:rPr>
          <w:color w:val="0563C1" w:themeColor="hyperlink"/>
          <w:u w:val="single"/>
        </w:rPr>
      </w:pPr>
      <w:hyperlink r:id="rId6" w:history="1">
        <w:r w:rsidR="004034BD" w:rsidRPr="004034BD">
          <w:rPr>
            <w:rStyle w:val="Lienhypertexte"/>
          </w:rPr>
          <w:t>Documentation de l’API Alpaca</w:t>
        </w:r>
      </w:hyperlink>
    </w:p>
    <w:p w14:paraId="11E917E9" w14:textId="77287850" w:rsidR="004034BD" w:rsidRDefault="001851C1" w:rsidP="004034BD">
      <w:pPr>
        <w:pStyle w:val="Paragraphedeliste"/>
        <w:numPr>
          <w:ilvl w:val="0"/>
          <w:numId w:val="2"/>
        </w:numPr>
        <w:rPr>
          <w:rStyle w:val="Lienhypertexte"/>
        </w:rPr>
      </w:pPr>
      <w:hyperlink r:id="rId7" w:history="1">
        <w:r w:rsidRPr="001851C1">
          <w:rPr>
            <w:rStyle w:val="Lienhypertexte"/>
          </w:rPr>
          <w:t>Article 2018</w:t>
        </w:r>
      </w:hyperlink>
    </w:p>
    <w:p w14:paraId="1570F49A" w14:textId="4BD8BE49" w:rsidR="004034BD" w:rsidRDefault="004034BD" w:rsidP="004034BD">
      <w:pPr>
        <w:pStyle w:val="Titre1"/>
      </w:pPr>
      <w:r>
        <w:t xml:space="preserve">Notions et vocabulaires </w:t>
      </w:r>
    </w:p>
    <w:p w14:paraId="44B388B2" w14:textId="0F44C2BC" w:rsidR="002A6B52" w:rsidRDefault="002A6B52" w:rsidP="002A6B52">
      <w:pPr>
        <w:pStyle w:val="Titre2"/>
      </w:pPr>
      <w:r>
        <w:t>Titre</w:t>
      </w:r>
    </w:p>
    <w:p w14:paraId="5447E7EE" w14:textId="593825F0" w:rsidR="002A6B52" w:rsidRDefault="002A6B52" w:rsidP="002A6B52">
      <w:r>
        <w:t>Un titre(stock), également connue sous le nom « </w:t>
      </w:r>
      <w:proofErr w:type="spellStart"/>
      <w:r>
        <w:t>equity</w:t>
      </w:r>
      <w:proofErr w:type="spellEnd"/>
      <w:r>
        <w:t> », est un titre financier qui représente la propriété d'une fraction de la société émettrice. Les unités d'actions sont appelées parts (</w:t>
      </w:r>
      <w:proofErr w:type="spellStart"/>
      <w:r>
        <w:t>shares</w:t>
      </w:r>
      <w:proofErr w:type="spellEnd"/>
      <w:r>
        <w:t>), qui donnent à leur propriétaire droit à une proportion des actifs (assets) et des bénéfices de la société correspondant à la quantité d'actions qu'il possède.</w:t>
      </w:r>
    </w:p>
    <w:p w14:paraId="086A52A2" w14:textId="65997990" w:rsidR="002A6B52" w:rsidRPr="002A6B52" w:rsidRDefault="002A6B52" w:rsidP="002A6B52">
      <w:r>
        <w:t>Les actions sont principalement achetées et vendues sur les bourses et constituent la base des portefeuilles de nombreux investisseurs individuels. Les transactions boursières doivent respecter les réglementations gouvernementales destinées à protéger les investisseurs contre les pratiques frauduleuses.</w:t>
      </w:r>
    </w:p>
    <w:p w14:paraId="707855A3" w14:textId="4BBEC9A6" w:rsidR="002A6B52" w:rsidRDefault="002A6B52" w:rsidP="002A6B52">
      <w:pPr>
        <w:pStyle w:val="Titre2"/>
      </w:pPr>
      <w:r>
        <w:t>Positions</w:t>
      </w:r>
    </w:p>
    <w:p w14:paraId="70956B93" w14:textId="602392A6" w:rsidR="00F766AD" w:rsidRDefault="00F766AD" w:rsidP="00F766AD">
      <w:r>
        <w:t>Une position est la quantité d'un titre, d'un actif ou d'une propriété possédée (ou vendue à découvert) par un individu ou une autre entité. Un trader ou un investisseur prend une position lorsqu'il effectue un achat via un ordre d'achat, indiquant une intention haussière ; ou lorsqu'il vend des titres à découvert avec une intention baissière.</w:t>
      </w:r>
    </w:p>
    <w:p w14:paraId="05426278" w14:textId="6F252406" w:rsidR="002A6B52" w:rsidRDefault="00F766AD" w:rsidP="00F766AD">
      <w:r>
        <w:t>L'ouverture d'une nouvelle position est finalement suivie à un moment donné dans le futur par la sortie ou la clôture de la position (c’est-à-dire la vente de tous les parts).</w:t>
      </w:r>
    </w:p>
    <w:p w14:paraId="33513843" w14:textId="0C3C73B1" w:rsidR="00F766AD" w:rsidRDefault="00F766AD" w:rsidP="00F766AD">
      <w:pPr>
        <w:pStyle w:val="Titre3"/>
      </w:pPr>
      <w:r>
        <w:t>Position longue</w:t>
      </w:r>
    </w:p>
    <w:p w14:paraId="6133BAFB" w14:textId="062F0188" w:rsidR="00F766AD" w:rsidRDefault="00F766AD" w:rsidP="00F766AD">
      <w:r>
        <w:t>Une position longue signifie que l'investisseur a acheté un actif financier (comme des actions, des obligations ou des marchandises) et s'attend à ce que le prix de cet actif augmente.</w:t>
      </w:r>
    </w:p>
    <w:p w14:paraId="314FCD50" w14:textId="545A62AC" w:rsidR="00F766AD" w:rsidRDefault="00F766AD" w:rsidP="00F766AD">
      <w:r>
        <w:t>L'objectif est de vendre l'actif à un prix plus élevé dans le futur pour réaliser un profit.</w:t>
      </w:r>
    </w:p>
    <w:p w14:paraId="46B3D984" w14:textId="2849FAD1" w:rsidR="00F766AD" w:rsidRPr="002A6B52" w:rsidRDefault="00F766AD" w:rsidP="00F766AD">
      <w:pPr>
        <w:pStyle w:val="Titre3"/>
      </w:pPr>
      <w:r>
        <w:t>Position courte</w:t>
      </w:r>
    </w:p>
    <w:p w14:paraId="352B08BB" w14:textId="0689A033" w:rsidR="00F766AD" w:rsidRDefault="00F766AD" w:rsidP="00F766AD">
      <w:r>
        <w:t>Une position courte signifie que l'investisseur a emprunté un actif financier et l'a vendu avec l'intention de le racheter plus tard à un prix inférieur.</w:t>
      </w:r>
    </w:p>
    <w:p w14:paraId="37002F8F" w14:textId="68D3783A" w:rsidR="004034BD" w:rsidRDefault="00F766AD" w:rsidP="00F766AD">
      <w:r>
        <w:t>L'objectif est de profiter de la baisse du prix de l'actif en le rachetant à un prix inférieur à celui de la vente initiale.</w:t>
      </w:r>
    </w:p>
    <w:p w14:paraId="6C18760F" w14:textId="6CE3AA96" w:rsidR="004034BD" w:rsidRDefault="004034BD" w:rsidP="004034BD">
      <w:pPr>
        <w:pStyle w:val="Titre1"/>
      </w:pPr>
      <w:r>
        <w:t>Indicateurs techniques d’analyse</w:t>
      </w:r>
    </w:p>
    <w:p w14:paraId="0CB5A9B1" w14:textId="3F13A2D4" w:rsidR="007D6379" w:rsidRDefault="00EC3B5D" w:rsidP="00EC3B5D">
      <w:pPr>
        <w:pStyle w:val="Titre2"/>
      </w:pPr>
      <w:r>
        <w:t>L’indicateur RSI</w:t>
      </w:r>
    </w:p>
    <w:p w14:paraId="0392470A" w14:textId="0D356CD8" w:rsidR="00E56C37" w:rsidRDefault="00E56C37" w:rsidP="00E56C37">
      <w:r w:rsidRPr="00E56C37">
        <w:t>L'indice de force relative (RSI) est un indicateur technique populaire utilisé dans l'analyse des marchés financiers. Il est conçu pour mesurer la vitesse et le changement des mouvements de prix. Le RSI oscille entre 0 et 100 et est généralement utilisé pour identifier les conditions de surachat ou de survente dans un marché.</w:t>
      </w:r>
    </w:p>
    <w:p w14:paraId="0EB5AF3C" w14:textId="2ED72FBD" w:rsidR="00E56C37" w:rsidRDefault="00E56C37" w:rsidP="00E56C37">
      <w:r w:rsidRPr="00E56C37">
        <w:lastRenderedPageBreak/>
        <w:drawing>
          <wp:inline distT="0" distB="0" distL="0" distR="0" wp14:anchorId="104F3F34" wp14:editId="74B6E74D">
            <wp:extent cx="1790700" cy="986112"/>
            <wp:effectExtent l="0" t="0" r="0" b="5080"/>
            <wp:docPr id="12259275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927530" name=""/>
                    <pic:cNvPicPr/>
                  </pic:nvPicPr>
                  <pic:blipFill>
                    <a:blip r:embed="rId8"/>
                    <a:stretch>
                      <a:fillRect/>
                    </a:stretch>
                  </pic:blipFill>
                  <pic:spPr>
                    <a:xfrm>
                      <a:off x="0" y="0"/>
                      <a:ext cx="1797318" cy="989756"/>
                    </a:xfrm>
                    <a:prstGeom prst="rect">
                      <a:avLst/>
                    </a:prstGeom>
                  </pic:spPr>
                </pic:pic>
              </a:graphicData>
            </a:graphic>
          </wp:inline>
        </w:drawing>
      </w:r>
    </w:p>
    <w:p w14:paraId="2AA628C4" w14:textId="4C77B0DD" w:rsidR="00DB4108" w:rsidRPr="00E56C37" w:rsidRDefault="00DB4108" w:rsidP="00DB4108">
      <w:pPr>
        <w:pStyle w:val="Titre3"/>
      </w:pPr>
      <w:r>
        <w:t>L’indicateur MACD</w:t>
      </w:r>
    </w:p>
    <w:p w14:paraId="4CFABB7C" w14:textId="2BC6B18F" w:rsidR="004034BD" w:rsidRDefault="00DB4108" w:rsidP="004034BD">
      <w:r w:rsidRPr="00DB4108">
        <w:t xml:space="preserve">Le MACD (Moving </w:t>
      </w:r>
      <w:proofErr w:type="spellStart"/>
      <w:r w:rsidRPr="00DB4108">
        <w:t>Average</w:t>
      </w:r>
      <w:proofErr w:type="spellEnd"/>
      <w:r w:rsidRPr="00DB4108">
        <w:t xml:space="preserve"> Convergence Divergence) est un indicateur technique utilisé dans l'analyse technique des marchés financiers. Il est basé sur les différences entre deux moyennes mobiles exponentielles (EMA) et est souvent utilisé pour identifier les tendances et les points d'inversion potentiels.</w:t>
      </w:r>
    </w:p>
    <w:p w14:paraId="212FD23D" w14:textId="3E9F0D54" w:rsidR="004304C3" w:rsidRDefault="00DB4108" w:rsidP="004304C3">
      <w:pPr>
        <w:pStyle w:val="Titre3"/>
      </w:pPr>
      <w:r>
        <w:t>L’indicateur ADX</w:t>
      </w:r>
    </w:p>
    <w:p w14:paraId="311A8EC7" w14:textId="0A1F1BED" w:rsidR="004304C3" w:rsidRDefault="004304C3" w:rsidP="004304C3">
      <w:r>
        <w:t>L'indice directionnel moyen (ADX) est un indicateur d'analyse technique utilisé par certains traders pour déterminer la force d'une tendance.</w:t>
      </w:r>
    </w:p>
    <w:p w14:paraId="62E43E4F" w14:textId="33FAD241" w:rsidR="004304C3" w:rsidRDefault="004304C3" w:rsidP="004304C3">
      <w:r>
        <w:t>La tendance peut être soit à la hausse soit à la baisse, et cela est montré par deux indicateurs d'accompagnement, l'indicateur directionnel négatif (-DI) et l'indicateur directionnel positif (+DI). Par conséquent, l'ADX comprend généralement trois lignes distinctes.</w:t>
      </w:r>
    </w:p>
    <w:p w14:paraId="75F2A51D" w14:textId="77777777" w:rsidR="004304C3" w:rsidRDefault="004304C3" w:rsidP="004304C3"/>
    <w:p w14:paraId="1BE14E69" w14:textId="70311D58" w:rsidR="00603410" w:rsidRDefault="00442C42">
      <w:r>
        <w:t xml:space="preserve">2 indicateurs de performances : </w:t>
      </w:r>
    </w:p>
    <w:p w14:paraId="4E5FD064" w14:textId="3D414699" w:rsidR="00442C42" w:rsidRDefault="00442C42" w:rsidP="00442C42">
      <w:pPr>
        <w:pStyle w:val="Paragraphedeliste"/>
        <w:numPr>
          <w:ilvl w:val="0"/>
          <w:numId w:val="1"/>
        </w:numPr>
      </w:pPr>
      <w:r>
        <w:t>Sharpe ratio</w:t>
      </w:r>
    </w:p>
    <w:p w14:paraId="01E012D5" w14:textId="2431375C" w:rsidR="00B74B81" w:rsidRDefault="00442C42" w:rsidP="00B74B81">
      <w:pPr>
        <w:pStyle w:val="Paragraphedeliste"/>
        <w:numPr>
          <w:ilvl w:val="0"/>
          <w:numId w:val="1"/>
        </w:numPr>
      </w:pPr>
      <w:r>
        <w:t xml:space="preserve">Cumulative </w:t>
      </w:r>
      <w:proofErr w:type="spellStart"/>
      <w:r>
        <w:t>returns</w:t>
      </w:r>
      <w:proofErr w:type="spellEnd"/>
    </w:p>
    <w:p w14:paraId="342599C4" w14:textId="024556B1" w:rsidR="00B74B81" w:rsidRDefault="00B74B81" w:rsidP="00B74B81">
      <w:pPr>
        <w:pStyle w:val="Paragraphedeliste"/>
        <w:numPr>
          <w:ilvl w:val="0"/>
          <w:numId w:val="1"/>
        </w:numPr>
      </w:pPr>
    </w:p>
    <w:p w14:paraId="398307B6" w14:textId="5BF0516E" w:rsidR="007F3050" w:rsidRDefault="007F3050" w:rsidP="007F3050">
      <w:pPr>
        <w:pStyle w:val="Titre1"/>
      </w:pPr>
      <w:r>
        <w:t>Récupération des données historiques</w:t>
      </w:r>
    </w:p>
    <w:p w14:paraId="391B88DC" w14:textId="64641857" w:rsidR="004034BD" w:rsidRDefault="004034BD" w:rsidP="004034BD">
      <w:r>
        <w:t xml:space="preserve">L’historique d’Alpaca remonte jusqu’à 2016 mais avec des données manquantes. On utilisera les données depuis 2017 afin qu’elles soient plus complète.  </w:t>
      </w:r>
    </w:p>
    <w:p w14:paraId="705E417A" w14:textId="77777777" w:rsidR="004034BD" w:rsidRDefault="004034BD" w:rsidP="004034BD">
      <w:r>
        <w:t>4 types de données historiques :</w:t>
      </w:r>
    </w:p>
    <w:p w14:paraId="6B02E931" w14:textId="79AA9942" w:rsidR="004034BD" w:rsidRDefault="004034BD" w:rsidP="004034BD">
      <w:pPr>
        <w:pStyle w:val="Paragraphedeliste"/>
        <w:numPr>
          <w:ilvl w:val="0"/>
          <w:numId w:val="1"/>
        </w:numPr>
      </w:pPr>
      <w:proofErr w:type="spellStart"/>
      <w:r>
        <w:t>Historical</w:t>
      </w:r>
      <w:proofErr w:type="spellEnd"/>
      <w:r>
        <w:t xml:space="preserve"> bars : correspond aux </w:t>
      </w:r>
      <w:proofErr w:type="spellStart"/>
      <w:r>
        <w:t>candlesticks</w:t>
      </w:r>
      <w:proofErr w:type="spellEnd"/>
      <w:r>
        <w:t xml:space="preserve"> qu’on va détailler ci-dessous</w:t>
      </w:r>
    </w:p>
    <w:p w14:paraId="69B8F103" w14:textId="5353DA84" w:rsidR="004034BD" w:rsidRDefault="004034BD" w:rsidP="004034BD">
      <w:pPr>
        <w:pStyle w:val="Paragraphedeliste"/>
        <w:numPr>
          <w:ilvl w:val="0"/>
          <w:numId w:val="1"/>
        </w:numPr>
      </w:pPr>
      <w:proofErr w:type="spellStart"/>
      <w:r>
        <w:t>Historical</w:t>
      </w:r>
      <w:proofErr w:type="spellEnd"/>
      <w:r>
        <w:t xml:space="preserve"> </w:t>
      </w:r>
      <w:proofErr w:type="spellStart"/>
      <w:r>
        <w:t>auctions</w:t>
      </w:r>
      <w:proofErr w:type="spellEnd"/>
      <w:r>
        <w:t xml:space="preserve"> : </w:t>
      </w:r>
      <w:r w:rsidR="0034792D">
        <w:t>…</w:t>
      </w:r>
    </w:p>
    <w:p w14:paraId="7702F5CD" w14:textId="10B397C0" w:rsidR="004034BD" w:rsidRDefault="004034BD" w:rsidP="004034BD">
      <w:pPr>
        <w:pStyle w:val="Paragraphedeliste"/>
        <w:numPr>
          <w:ilvl w:val="0"/>
          <w:numId w:val="1"/>
        </w:numPr>
      </w:pPr>
      <w:proofErr w:type="spellStart"/>
      <w:r>
        <w:t>Historical</w:t>
      </w:r>
      <w:proofErr w:type="spellEnd"/>
      <w:r>
        <w:t xml:space="preserve"> </w:t>
      </w:r>
      <w:proofErr w:type="spellStart"/>
      <w:r>
        <w:t>quotes</w:t>
      </w:r>
      <w:proofErr w:type="spellEnd"/>
      <w:r w:rsidR="0034792D">
        <w:t> : …</w:t>
      </w:r>
    </w:p>
    <w:p w14:paraId="2FA64F7D" w14:textId="32E07160" w:rsidR="004034BD" w:rsidRDefault="004034BD" w:rsidP="004034BD">
      <w:pPr>
        <w:pStyle w:val="Paragraphedeliste"/>
        <w:numPr>
          <w:ilvl w:val="0"/>
          <w:numId w:val="1"/>
        </w:numPr>
      </w:pPr>
      <w:proofErr w:type="spellStart"/>
      <w:r>
        <w:t>Historical</w:t>
      </w:r>
      <w:proofErr w:type="spellEnd"/>
      <w:r>
        <w:t xml:space="preserve"> </w:t>
      </w:r>
      <w:proofErr w:type="spellStart"/>
      <w:r>
        <w:t>trades</w:t>
      </w:r>
      <w:proofErr w:type="spellEnd"/>
      <w:r w:rsidR="0034792D">
        <w:t> : …</w:t>
      </w:r>
    </w:p>
    <w:p w14:paraId="4777FDBA" w14:textId="77777777" w:rsidR="004034BD" w:rsidRPr="004034BD" w:rsidRDefault="004034BD" w:rsidP="004034BD"/>
    <w:p w14:paraId="1A533680" w14:textId="716BE7D5" w:rsidR="00B74B81" w:rsidRPr="001949EC" w:rsidRDefault="007F3050" w:rsidP="00B74B81">
      <w:pPr>
        <w:rPr>
          <w:rFonts w:cstheme="minorHAnsi"/>
          <w:color w:val="384248"/>
          <w:sz w:val="23"/>
          <w:szCs w:val="23"/>
          <w:shd w:val="clear" w:color="auto" w:fill="FFFFFF"/>
        </w:rPr>
      </w:pPr>
      <w:r w:rsidRPr="001949EC">
        <w:rPr>
          <w:rFonts w:cstheme="minorHAnsi"/>
          <w:b/>
          <w:bCs/>
          <w:color w:val="384248"/>
          <w:sz w:val="23"/>
          <w:szCs w:val="23"/>
          <w:shd w:val="clear" w:color="auto" w:fill="FFFFFF"/>
        </w:rPr>
        <w:t>SIP</w:t>
      </w:r>
      <w:r w:rsidRPr="001949EC">
        <w:rPr>
          <w:rFonts w:cstheme="minorHAnsi"/>
          <w:color w:val="384248"/>
          <w:sz w:val="23"/>
          <w:szCs w:val="23"/>
          <w:shd w:val="clear" w:color="auto" w:fill="FFFFFF"/>
        </w:rPr>
        <w:t xml:space="preserve"> </w:t>
      </w:r>
      <w:proofErr w:type="spellStart"/>
      <w:r w:rsidRPr="001949EC">
        <w:rPr>
          <w:rFonts w:cstheme="minorHAnsi"/>
          <w:color w:val="384248"/>
          <w:sz w:val="23"/>
          <w:szCs w:val="23"/>
          <w:shd w:val="clear" w:color="auto" w:fill="FFFFFF"/>
        </w:rPr>
        <w:t>is</w:t>
      </w:r>
      <w:proofErr w:type="spellEnd"/>
      <w:r w:rsidRPr="001949EC">
        <w:rPr>
          <w:rFonts w:cstheme="minorHAnsi"/>
          <w:color w:val="384248"/>
          <w:sz w:val="23"/>
          <w:szCs w:val="23"/>
          <w:shd w:val="clear" w:color="auto" w:fill="FFFFFF"/>
        </w:rPr>
        <w:t xml:space="preserve"> short for </w:t>
      </w:r>
      <w:hyperlink r:id="rId9" w:tgtFrame="_self" w:history="1">
        <w:r w:rsidRPr="001949EC">
          <w:rPr>
            <w:rStyle w:val="Lienhypertexte"/>
            <w:rFonts w:cstheme="minorHAnsi"/>
            <w:color w:val="8F5AFF"/>
            <w:sz w:val="23"/>
            <w:szCs w:val="23"/>
            <w:shd w:val="clear" w:color="auto" w:fill="FFFFFF"/>
          </w:rPr>
          <w:t>Securities Information Processor</w:t>
        </w:r>
      </w:hyperlink>
      <w:r w:rsidRPr="001949EC">
        <w:rPr>
          <w:rFonts w:cstheme="minorHAnsi"/>
          <w:color w:val="384248"/>
          <w:sz w:val="23"/>
          <w:szCs w:val="23"/>
          <w:shd w:val="clear" w:color="auto" w:fill="FFFFFF"/>
        </w:rPr>
        <w:t xml:space="preserve">. All US exchanges are </w:t>
      </w:r>
      <w:proofErr w:type="spellStart"/>
      <w:r w:rsidRPr="001949EC">
        <w:rPr>
          <w:rFonts w:cstheme="minorHAnsi"/>
          <w:color w:val="384248"/>
          <w:sz w:val="23"/>
          <w:szCs w:val="23"/>
          <w:shd w:val="clear" w:color="auto" w:fill="FFFFFF"/>
        </w:rPr>
        <w:t>mandated</w:t>
      </w:r>
      <w:proofErr w:type="spellEnd"/>
      <w:r w:rsidRPr="001949EC">
        <w:rPr>
          <w:rFonts w:cstheme="minorHAnsi"/>
          <w:color w:val="384248"/>
          <w:sz w:val="23"/>
          <w:szCs w:val="23"/>
          <w:shd w:val="clear" w:color="auto" w:fill="FFFFFF"/>
        </w:rPr>
        <w:t xml:space="preserve"> by the </w:t>
      </w:r>
      <w:proofErr w:type="spellStart"/>
      <w:r w:rsidRPr="001949EC">
        <w:rPr>
          <w:rFonts w:cstheme="minorHAnsi"/>
          <w:color w:val="384248"/>
          <w:sz w:val="23"/>
          <w:szCs w:val="23"/>
          <w:shd w:val="clear" w:color="auto" w:fill="FFFFFF"/>
        </w:rPr>
        <w:t>regulators</w:t>
      </w:r>
      <w:proofErr w:type="spellEnd"/>
      <w:r w:rsidRPr="001949EC">
        <w:rPr>
          <w:rFonts w:cstheme="minorHAnsi"/>
          <w:color w:val="384248"/>
          <w:sz w:val="23"/>
          <w:szCs w:val="23"/>
          <w:shd w:val="clear" w:color="auto" w:fill="FFFFFF"/>
        </w:rPr>
        <w:t xml:space="preserve"> to report </w:t>
      </w:r>
      <w:proofErr w:type="spellStart"/>
      <w:r w:rsidRPr="001949EC">
        <w:rPr>
          <w:rFonts w:cstheme="minorHAnsi"/>
          <w:color w:val="384248"/>
          <w:sz w:val="23"/>
          <w:szCs w:val="23"/>
          <w:shd w:val="clear" w:color="auto" w:fill="FFFFFF"/>
        </w:rPr>
        <w:t>their</w:t>
      </w:r>
      <w:proofErr w:type="spellEnd"/>
      <w:r w:rsidRPr="001949EC">
        <w:rPr>
          <w:rFonts w:cstheme="minorHAnsi"/>
          <w:color w:val="384248"/>
          <w:sz w:val="23"/>
          <w:szCs w:val="23"/>
          <w:shd w:val="clear" w:color="auto" w:fill="FFFFFF"/>
        </w:rPr>
        <w:t xml:space="preserve"> </w:t>
      </w:r>
      <w:proofErr w:type="spellStart"/>
      <w:r w:rsidRPr="001949EC">
        <w:rPr>
          <w:rFonts w:cstheme="minorHAnsi"/>
          <w:color w:val="384248"/>
          <w:sz w:val="23"/>
          <w:szCs w:val="23"/>
          <w:shd w:val="clear" w:color="auto" w:fill="FFFFFF"/>
        </w:rPr>
        <w:t>activities</w:t>
      </w:r>
      <w:proofErr w:type="spellEnd"/>
      <w:r w:rsidRPr="001949EC">
        <w:rPr>
          <w:rFonts w:cstheme="minorHAnsi"/>
          <w:color w:val="384248"/>
          <w:sz w:val="23"/>
          <w:szCs w:val="23"/>
          <w:shd w:val="clear" w:color="auto" w:fill="FFFFFF"/>
        </w:rPr>
        <w:t xml:space="preserve"> (</w:t>
      </w:r>
      <w:proofErr w:type="spellStart"/>
      <w:r w:rsidRPr="001949EC">
        <w:rPr>
          <w:rFonts w:cstheme="minorHAnsi"/>
          <w:color w:val="384248"/>
          <w:sz w:val="23"/>
          <w:szCs w:val="23"/>
          <w:shd w:val="clear" w:color="auto" w:fill="FFFFFF"/>
        </w:rPr>
        <w:t>trades</w:t>
      </w:r>
      <w:proofErr w:type="spellEnd"/>
      <w:r w:rsidRPr="001949EC">
        <w:rPr>
          <w:rFonts w:cstheme="minorHAnsi"/>
          <w:color w:val="384248"/>
          <w:sz w:val="23"/>
          <w:szCs w:val="23"/>
          <w:shd w:val="clear" w:color="auto" w:fill="FFFFFF"/>
        </w:rPr>
        <w:t xml:space="preserve"> and </w:t>
      </w:r>
      <w:proofErr w:type="spellStart"/>
      <w:r w:rsidRPr="001949EC">
        <w:rPr>
          <w:rFonts w:cstheme="minorHAnsi"/>
          <w:color w:val="384248"/>
          <w:sz w:val="23"/>
          <w:szCs w:val="23"/>
          <w:shd w:val="clear" w:color="auto" w:fill="FFFFFF"/>
        </w:rPr>
        <w:t>quotes</w:t>
      </w:r>
      <w:proofErr w:type="spellEnd"/>
      <w:r w:rsidRPr="001949EC">
        <w:rPr>
          <w:rFonts w:cstheme="minorHAnsi"/>
          <w:color w:val="384248"/>
          <w:sz w:val="23"/>
          <w:szCs w:val="23"/>
          <w:shd w:val="clear" w:color="auto" w:fill="FFFFFF"/>
        </w:rPr>
        <w:t xml:space="preserve">) to the </w:t>
      </w:r>
      <w:proofErr w:type="spellStart"/>
      <w:r w:rsidRPr="001949EC">
        <w:rPr>
          <w:rFonts w:cstheme="minorHAnsi"/>
          <w:color w:val="384248"/>
          <w:sz w:val="23"/>
          <w:szCs w:val="23"/>
          <w:shd w:val="clear" w:color="auto" w:fill="FFFFFF"/>
        </w:rPr>
        <w:t>consolidated</w:t>
      </w:r>
      <w:proofErr w:type="spellEnd"/>
      <w:r w:rsidRPr="001949EC">
        <w:rPr>
          <w:rFonts w:cstheme="minorHAnsi"/>
          <w:color w:val="384248"/>
          <w:sz w:val="23"/>
          <w:szCs w:val="23"/>
          <w:shd w:val="clear" w:color="auto" w:fill="FFFFFF"/>
        </w:rPr>
        <w:t xml:space="preserve"> tape. This </w:t>
      </w:r>
      <w:proofErr w:type="spellStart"/>
      <w:r w:rsidRPr="001949EC">
        <w:rPr>
          <w:rFonts w:cstheme="minorHAnsi"/>
          <w:color w:val="384248"/>
          <w:sz w:val="23"/>
          <w:szCs w:val="23"/>
          <w:shd w:val="clear" w:color="auto" w:fill="FFFFFF"/>
        </w:rPr>
        <w:t>is</w:t>
      </w:r>
      <w:proofErr w:type="spellEnd"/>
      <w:r w:rsidRPr="001949EC">
        <w:rPr>
          <w:rFonts w:cstheme="minorHAnsi"/>
          <w:color w:val="384248"/>
          <w:sz w:val="23"/>
          <w:szCs w:val="23"/>
          <w:shd w:val="clear" w:color="auto" w:fill="FFFFFF"/>
        </w:rPr>
        <w:t xml:space="preserve"> </w:t>
      </w:r>
      <w:proofErr w:type="spellStart"/>
      <w:r w:rsidRPr="001949EC">
        <w:rPr>
          <w:rFonts w:cstheme="minorHAnsi"/>
          <w:color w:val="384248"/>
          <w:sz w:val="23"/>
          <w:szCs w:val="23"/>
          <w:shd w:val="clear" w:color="auto" w:fill="FFFFFF"/>
        </w:rPr>
        <w:t>what</w:t>
      </w:r>
      <w:proofErr w:type="spellEnd"/>
      <w:r w:rsidRPr="001949EC">
        <w:rPr>
          <w:rFonts w:cstheme="minorHAnsi"/>
          <w:color w:val="384248"/>
          <w:sz w:val="23"/>
          <w:szCs w:val="23"/>
          <w:shd w:val="clear" w:color="auto" w:fill="FFFFFF"/>
        </w:rPr>
        <w:t xml:space="preserve"> </w:t>
      </w:r>
      <w:proofErr w:type="spellStart"/>
      <w:r w:rsidRPr="001949EC">
        <w:rPr>
          <w:rFonts w:cstheme="minorHAnsi"/>
          <w:color w:val="384248"/>
          <w:sz w:val="23"/>
          <w:szCs w:val="23"/>
          <w:shd w:val="clear" w:color="auto" w:fill="FFFFFF"/>
        </w:rPr>
        <w:t>we</w:t>
      </w:r>
      <w:proofErr w:type="spellEnd"/>
      <w:r w:rsidRPr="001949EC">
        <w:rPr>
          <w:rFonts w:cstheme="minorHAnsi"/>
          <w:color w:val="384248"/>
          <w:sz w:val="23"/>
          <w:szCs w:val="23"/>
          <w:shd w:val="clear" w:color="auto" w:fill="FFFFFF"/>
        </w:rPr>
        <w:t xml:space="preserve"> call SIP data.</w:t>
      </w:r>
    </w:p>
    <w:p w14:paraId="14DFA18E" w14:textId="671266C0" w:rsidR="007F3050" w:rsidRPr="001949EC" w:rsidRDefault="007F3050" w:rsidP="00B74B81">
      <w:pPr>
        <w:rPr>
          <w:rFonts w:cstheme="minorHAnsi"/>
        </w:rPr>
      </w:pPr>
      <w:r w:rsidRPr="001949EC">
        <w:rPr>
          <w:rFonts w:cstheme="minorHAnsi"/>
          <w:b/>
          <w:bCs/>
          <w:color w:val="384248"/>
          <w:sz w:val="23"/>
          <w:szCs w:val="23"/>
          <w:shd w:val="clear" w:color="auto" w:fill="FFFFFF"/>
        </w:rPr>
        <w:t>IEX</w:t>
      </w:r>
      <w:r w:rsidRPr="001949EC">
        <w:rPr>
          <w:rFonts w:cstheme="minorHAnsi"/>
          <w:color w:val="384248"/>
          <w:sz w:val="23"/>
          <w:szCs w:val="23"/>
          <w:shd w:val="clear" w:color="auto" w:fill="FFFFFF"/>
        </w:rPr>
        <w:t xml:space="preserve"> (</w:t>
      </w:r>
      <w:proofErr w:type="spellStart"/>
      <w:r w:rsidRPr="001949EC">
        <w:rPr>
          <w:rFonts w:cstheme="minorHAnsi"/>
        </w:rPr>
        <w:fldChar w:fldCharType="begin"/>
      </w:r>
      <w:r w:rsidRPr="001949EC">
        <w:rPr>
          <w:rFonts w:cstheme="minorHAnsi"/>
        </w:rPr>
        <w:instrText>HYPERLINK "https://en.wikipedia.org/wiki/IEX" \t "_self"</w:instrText>
      </w:r>
      <w:r w:rsidRPr="001949EC">
        <w:rPr>
          <w:rFonts w:cstheme="minorHAnsi"/>
        </w:rPr>
      </w:r>
      <w:r w:rsidRPr="001949EC">
        <w:rPr>
          <w:rFonts w:cstheme="minorHAnsi"/>
        </w:rPr>
        <w:fldChar w:fldCharType="separate"/>
      </w:r>
      <w:r w:rsidRPr="001949EC">
        <w:rPr>
          <w:rStyle w:val="Lienhypertexte"/>
          <w:rFonts w:cstheme="minorHAnsi"/>
          <w:color w:val="8F5AFF"/>
          <w:sz w:val="23"/>
          <w:szCs w:val="23"/>
          <w:shd w:val="clear" w:color="auto" w:fill="FFFFFF"/>
        </w:rPr>
        <w:t>Investors</w:t>
      </w:r>
      <w:proofErr w:type="spellEnd"/>
      <w:r w:rsidRPr="001949EC">
        <w:rPr>
          <w:rStyle w:val="Lienhypertexte"/>
          <w:rFonts w:cstheme="minorHAnsi"/>
          <w:color w:val="8F5AFF"/>
          <w:sz w:val="23"/>
          <w:szCs w:val="23"/>
          <w:shd w:val="clear" w:color="auto" w:fill="FFFFFF"/>
        </w:rPr>
        <w:t xml:space="preserve"> Exchange</w:t>
      </w:r>
      <w:r w:rsidRPr="001949EC">
        <w:rPr>
          <w:rFonts w:cstheme="minorHAnsi"/>
        </w:rPr>
        <w:fldChar w:fldCharType="end"/>
      </w:r>
      <w:r w:rsidRPr="001949EC">
        <w:rPr>
          <w:rFonts w:cstheme="minorHAnsi"/>
          <w:color w:val="384248"/>
          <w:sz w:val="23"/>
          <w:szCs w:val="23"/>
          <w:shd w:val="clear" w:color="auto" w:fill="FFFFFF"/>
        </w:rPr>
        <w:t xml:space="preserve">) </w:t>
      </w:r>
      <w:proofErr w:type="spellStart"/>
      <w:r w:rsidRPr="001949EC">
        <w:rPr>
          <w:rFonts w:cstheme="minorHAnsi"/>
          <w:color w:val="384248"/>
          <w:sz w:val="23"/>
          <w:szCs w:val="23"/>
          <w:shd w:val="clear" w:color="auto" w:fill="FFFFFF"/>
        </w:rPr>
        <w:t>is</w:t>
      </w:r>
      <w:proofErr w:type="spellEnd"/>
      <w:r w:rsidRPr="001949EC">
        <w:rPr>
          <w:rFonts w:cstheme="minorHAnsi"/>
          <w:color w:val="384248"/>
          <w:sz w:val="23"/>
          <w:szCs w:val="23"/>
          <w:shd w:val="clear" w:color="auto" w:fill="FFFFFF"/>
        </w:rPr>
        <w:t xml:space="preserve"> a single stock exchange.</w:t>
      </w:r>
    </w:p>
    <w:p w14:paraId="1BDDEB29" w14:textId="55ED2EFE" w:rsidR="00442C42" w:rsidRDefault="007F3050" w:rsidP="00442C42">
      <w:r>
        <w:t xml:space="preserve">On utilisera le SIP pour les données historiques et IEX pour récupérer les données en temps réel étant donné </w:t>
      </w:r>
      <w:r w:rsidR="00610A17">
        <w:t>qu’on n’a pas</w:t>
      </w:r>
      <w:r>
        <w:t xml:space="preserve"> accès aux données SIP en temps réel avec la version gratuite de l’API Alpaca.</w:t>
      </w:r>
    </w:p>
    <w:p w14:paraId="716F73B4" w14:textId="33C6920A" w:rsidR="00610A17" w:rsidRDefault="00610A17" w:rsidP="00442C42">
      <w:r>
        <w:t>On récupère une liste de stocks avec 2 times frame différents : L’état du stock sur une durée de 1 jour et sur 1 heure.</w:t>
      </w:r>
    </w:p>
    <w:p w14:paraId="3DF1B4C6" w14:textId="391D8857" w:rsidR="00F94195" w:rsidRDefault="00610A17" w:rsidP="00442C42">
      <w:r>
        <w:lastRenderedPageBreak/>
        <w:t>API limitée</w:t>
      </w:r>
      <w:r w:rsidR="00F94195">
        <w:t xml:space="preserve"> à 200 requêtes par minute</w:t>
      </w:r>
      <w:r>
        <w:t xml:space="preserve"> =&gt; il faut donc ajouter un </w:t>
      </w:r>
      <w:proofErr w:type="spellStart"/>
      <w:r>
        <w:t>sleep</w:t>
      </w:r>
      <w:proofErr w:type="spellEnd"/>
      <w:r>
        <w:t xml:space="preserve"> pour éviter un blocage de l’API surtout pour un time frame d’une heure (beaucoup plus de données</w:t>
      </w:r>
      <w:r w:rsidR="0034792D">
        <w:t xml:space="preserve"> </w:t>
      </w:r>
      <w:r>
        <w:t>et donc d’appel à l’API)</w:t>
      </w:r>
    </w:p>
    <w:p w14:paraId="79CE4458" w14:textId="77777777" w:rsidR="00BC5FD9" w:rsidRDefault="00BC5FD9" w:rsidP="00442C42">
      <w:r>
        <w:t>On récupère des données sous la forme de « </w:t>
      </w:r>
      <w:proofErr w:type="spellStart"/>
      <w:r>
        <w:t>candlestick</w:t>
      </w:r>
      <w:proofErr w:type="spellEnd"/>
      <w:r>
        <w:t> ». Cette forme permet de représenter l’état du marché durant l’intervalle de temps défini, en indiquant :</w:t>
      </w:r>
    </w:p>
    <w:p w14:paraId="0D41DBB7" w14:textId="20E29B7B" w:rsidR="00BC5FD9" w:rsidRDefault="00BC5FD9" w:rsidP="00BC5FD9">
      <w:pPr>
        <w:pStyle w:val="Paragraphedeliste"/>
        <w:numPr>
          <w:ilvl w:val="0"/>
          <w:numId w:val="1"/>
        </w:numPr>
      </w:pPr>
      <w:r>
        <w:t>Le prix d’ouverture</w:t>
      </w:r>
      <w:r w:rsidR="002C35CE">
        <w:t xml:space="preserve"> -&gt; </w:t>
      </w:r>
      <w:r>
        <w:t>l</w:t>
      </w:r>
      <w:r w:rsidR="002C35CE">
        <w:t>a valeur de la première transaction</w:t>
      </w:r>
    </w:p>
    <w:p w14:paraId="54658DA7" w14:textId="77777777" w:rsidR="002C35CE" w:rsidRDefault="00BC5FD9" w:rsidP="00BC5FD9">
      <w:pPr>
        <w:pStyle w:val="Paragraphedeliste"/>
        <w:numPr>
          <w:ilvl w:val="0"/>
          <w:numId w:val="1"/>
        </w:numPr>
      </w:pPr>
      <w:r>
        <w:t>Le prix de fermeture</w:t>
      </w:r>
      <w:r w:rsidR="002C35CE">
        <w:t xml:space="preserve"> -&gt; la valeur de la dernière transaction</w:t>
      </w:r>
    </w:p>
    <w:p w14:paraId="7EE905F3" w14:textId="0F754254" w:rsidR="002C35CE" w:rsidRDefault="002C35CE" w:rsidP="00BC5FD9">
      <w:pPr>
        <w:pStyle w:val="Paragraphedeliste"/>
        <w:numPr>
          <w:ilvl w:val="0"/>
          <w:numId w:val="1"/>
        </w:numPr>
      </w:pPr>
      <w:r>
        <w:t>Le prix le plus élevé durant cet intervalle de temps</w:t>
      </w:r>
    </w:p>
    <w:p w14:paraId="3C7920B8" w14:textId="77F7CDCA" w:rsidR="00BC5FD9" w:rsidRDefault="002C35CE" w:rsidP="00BC5FD9">
      <w:pPr>
        <w:pStyle w:val="Paragraphedeliste"/>
        <w:numPr>
          <w:ilvl w:val="0"/>
          <w:numId w:val="1"/>
        </w:numPr>
      </w:pPr>
      <w:r>
        <w:t xml:space="preserve">Le prix le plus bas durant cet intervalle de temps </w:t>
      </w:r>
    </w:p>
    <w:p w14:paraId="3664B567" w14:textId="77777777" w:rsidR="002C35CE" w:rsidRDefault="002C35CE" w:rsidP="002C35CE">
      <w:r>
        <w:t>Ajouté à ça :</w:t>
      </w:r>
    </w:p>
    <w:p w14:paraId="7C8F5769" w14:textId="14698830" w:rsidR="002C35CE" w:rsidRDefault="002C35CE" w:rsidP="002C35CE">
      <w:pPr>
        <w:pStyle w:val="Paragraphedeliste"/>
        <w:numPr>
          <w:ilvl w:val="0"/>
          <w:numId w:val="1"/>
        </w:numPr>
      </w:pPr>
      <w:r>
        <w:t>Le nombre d’échange effectué</w:t>
      </w:r>
    </w:p>
    <w:p w14:paraId="4FC184F1" w14:textId="11380BAD" w:rsidR="002C35CE" w:rsidRDefault="002C35CE" w:rsidP="002C35CE">
      <w:pPr>
        <w:pStyle w:val="Paragraphedeliste"/>
        <w:numPr>
          <w:ilvl w:val="0"/>
          <w:numId w:val="1"/>
        </w:numPr>
      </w:pPr>
      <w:r>
        <w:t>L’horodatage indiquant le début de période spécifiée</w:t>
      </w:r>
    </w:p>
    <w:p w14:paraId="4D2F2E44" w14:textId="700BD1D2" w:rsidR="002C35CE" w:rsidRDefault="002C35CE" w:rsidP="002C35CE">
      <w:pPr>
        <w:pStyle w:val="Paragraphedeliste"/>
        <w:numPr>
          <w:ilvl w:val="0"/>
          <w:numId w:val="1"/>
        </w:numPr>
      </w:pPr>
      <w:r>
        <w:t>Le volume d’actions échangées durant la période spécifiée</w:t>
      </w:r>
    </w:p>
    <w:p w14:paraId="32754982" w14:textId="71554476" w:rsidR="002C35CE" w:rsidRDefault="002C35CE" w:rsidP="002C35CE">
      <w:pPr>
        <w:pStyle w:val="Paragraphedeliste"/>
        <w:numPr>
          <w:ilvl w:val="0"/>
          <w:numId w:val="1"/>
        </w:numPr>
      </w:pPr>
      <w:r>
        <w:t xml:space="preserve">Le </w:t>
      </w:r>
      <w:r w:rsidRPr="002C35CE">
        <w:t>Volume-</w:t>
      </w:r>
      <w:proofErr w:type="spellStart"/>
      <w:r w:rsidRPr="002C35CE">
        <w:t>Weighted</w:t>
      </w:r>
      <w:proofErr w:type="spellEnd"/>
      <w:r w:rsidRPr="002C35CE">
        <w:t xml:space="preserve"> </w:t>
      </w:r>
      <w:proofErr w:type="spellStart"/>
      <w:r w:rsidRPr="002C35CE">
        <w:t>Average</w:t>
      </w:r>
      <w:proofErr w:type="spellEnd"/>
      <w:r w:rsidRPr="002C35CE">
        <w:t xml:space="preserve"> Price - VWAP : Le prix moyen pondéré par le volume pour la période spécifiée. Il est calculé en multipliant chaque prix de transaction par le volume de cette transaction, puis en divisant la somme des produits par le volume total des transactions</w:t>
      </w:r>
    </w:p>
    <w:sectPr w:rsidR="002C35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DF5563"/>
    <w:multiLevelType w:val="hybridMultilevel"/>
    <w:tmpl w:val="BA02740E"/>
    <w:lvl w:ilvl="0" w:tplc="30243C5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F50B04"/>
    <w:multiLevelType w:val="hybridMultilevel"/>
    <w:tmpl w:val="3E70D824"/>
    <w:lvl w:ilvl="0" w:tplc="DBA00348">
      <w:numFmt w:val="bullet"/>
      <w:lvlText w:val="-"/>
      <w:lvlJc w:val="left"/>
      <w:pPr>
        <w:ind w:left="720" w:hanging="360"/>
      </w:pPr>
      <w:rPr>
        <w:rFonts w:ascii="Calibri" w:eastAsiaTheme="minorHAnsi" w:hAnsi="Calibri" w:cs="Calibri" w:hint="default"/>
        <w:color w:val="auto"/>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62315029">
    <w:abstractNumId w:val="0"/>
  </w:num>
  <w:num w:numId="2" w16cid:durableId="1311517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410"/>
    <w:rsid w:val="001851C1"/>
    <w:rsid w:val="001949EC"/>
    <w:rsid w:val="0026139B"/>
    <w:rsid w:val="002A6B52"/>
    <w:rsid w:val="002C35CE"/>
    <w:rsid w:val="00312060"/>
    <w:rsid w:val="0034792D"/>
    <w:rsid w:val="003525D3"/>
    <w:rsid w:val="004034BD"/>
    <w:rsid w:val="004304C3"/>
    <w:rsid w:val="00442C42"/>
    <w:rsid w:val="00603410"/>
    <w:rsid w:val="00610A17"/>
    <w:rsid w:val="007D6379"/>
    <w:rsid w:val="007F3050"/>
    <w:rsid w:val="008664F9"/>
    <w:rsid w:val="00B74B81"/>
    <w:rsid w:val="00BC5FD9"/>
    <w:rsid w:val="00BF0017"/>
    <w:rsid w:val="00DB4108"/>
    <w:rsid w:val="00E56C37"/>
    <w:rsid w:val="00E905FA"/>
    <w:rsid w:val="00EC3B5D"/>
    <w:rsid w:val="00F57C64"/>
    <w:rsid w:val="00F766AD"/>
    <w:rsid w:val="00F941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37AB7"/>
  <w15:chartTrackingRefBased/>
  <w15:docId w15:val="{FAD9F79F-0ABE-4813-A2EF-C46D84E3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F30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C3B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766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42C42"/>
    <w:pPr>
      <w:ind w:left="720"/>
      <w:contextualSpacing/>
    </w:pPr>
  </w:style>
  <w:style w:type="character" w:styleId="Lienhypertexte">
    <w:name w:val="Hyperlink"/>
    <w:basedOn w:val="Policepardfaut"/>
    <w:uiPriority w:val="99"/>
    <w:unhideWhenUsed/>
    <w:rsid w:val="00B74B81"/>
    <w:rPr>
      <w:color w:val="0563C1" w:themeColor="hyperlink"/>
      <w:u w:val="single"/>
    </w:rPr>
  </w:style>
  <w:style w:type="character" w:styleId="Mentionnonrsolue">
    <w:name w:val="Unresolved Mention"/>
    <w:basedOn w:val="Policepardfaut"/>
    <w:uiPriority w:val="99"/>
    <w:semiHidden/>
    <w:unhideWhenUsed/>
    <w:rsid w:val="00B74B81"/>
    <w:rPr>
      <w:color w:val="605E5C"/>
      <w:shd w:val="clear" w:color="auto" w:fill="E1DFDD"/>
    </w:rPr>
  </w:style>
  <w:style w:type="character" w:customStyle="1" w:styleId="Titre1Car">
    <w:name w:val="Titre 1 Car"/>
    <w:basedOn w:val="Policepardfaut"/>
    <w:link w:val="Titre1"/>
    <w:uiPriority w:val="9"/>
    <w:rsid w:val="007F3050"/>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2C3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C35CE"/>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EC3B5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766A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304704">
      <w:bodyDiv w:val="1"/>
      <w:marLeft w:val="0"/>
      <w:marRight w:val="0"/>
      <w:marTop w:val="0"/>
      <w:marBottom w:val="0"/>
      <w:divBdr>
        <w:top w:val="none" w:sz="0" w:space="0" w:color="auto"/>
        <w:left w:val="none" w:sz="0" w:space="0" w:color="auto"/>
        <w:bottom w:val="none" w:sz="0" w:space="0" w:color="auto"/>
        <w:right w:val="none" w:sz="0" w:space="0" w:color="auto"/>
      </w:divBdr>
    </w:div>
    <w:div w:id="706879723">
      <w:bodyDiv w:val="1"/>
      <w:marLeft w:val="0"/>
      <w:marRight w:val="0"/>
      <w:marTop w:val="0"/>
      <w:marBottom w:val="0"/>
      <w:divBdr>
        <w:top w:val="none" w:sz="0" w:space="0" w:color="auto"/>
        <w:left w:val="none" w:sz="0" w:space="0" w:color="auto"/>
        <w:bottom w:val="none" w:sz="0" w:space="0" w:color="auto"/>
        <w:right w:val="none" w:sz="0" w:space="0" w:color="auto"/>
      </w:divBdr>
    </w:div>
    <w:div w:id="138020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rxiv.org/pdf/1811.075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lpaca.markets/reference/stockbars-1" TargetMode="External"/><Relationship Id="rId11" Type="http://schemas.openxmlformats.org/officeDocument/2006/relationships/theme" Target="theme/theme1.xml"/><Relationship Id="rId5" Type="http://schemas.openxmlformats.org/officeDocument/2006/relationships/hyperlink" Target="https://medium.datadriveninvestor.com/how-to-use-reinforcement-learning-for-profitable-investing-ebe8662f13c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ecurities_information_processo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3</Pages>
  <Words>847</Words>
  <Characters>4660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cp:lastModifiedBy>
  <cp:revision>9</cp:revision>
  <dcterms:created xsi:type="dcterms:W3CDTF">2024-04-09T22:09:00Z</dcterms:created>
  <dcterms:modified xsi:type="dcterms:W3CDTF">2024-05-25T17:05:00Z</dcterms:modified>
</cp:coreProperties>
</file>