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b/>
          <w:color w:val="1F497D"/>
          <w:sz w:val="26"/>
        </w:rPr>
        <w:t>Web Appendix: ESG Violation Social Media Impact Predictor — Dashboard Documentation and Technical Details</w:t>
      </w:r>
    </w:p>
    <w:p>
      <w:pPr>
        <w:pStyle w:val="Heading1"/>
      </w:pPr>
      <w:r>
        <w:t>A. Dashboard Overview</w:t>
      </w:r>
    </w:p>
    <w:p>
      <w:pPr>
        <w:spacing w:before="0" w:after="160"/>
      </w:pPr>
      <w:r>
        <w:rPr>
          <w:b w:val="0"/>
          <w:i w:val="0"/>
          <w:sz w:val="22"/>
        </w:rPr>
        <w:t>The ESG Violation Social Media Impact Predictor is an interactive, browser-based decision-support tool that translates the econometric estimates reported in the main paper into actionable, market-level forecasts. Given a user-specified corporate home country, a set of target markets, an ESG violation category, and a pre-incident baseline negative-sentiment share, the dashboard computes the predicted change in the share of negative tweets for each target market and visualises the results across three complementary output panels.</w:t>
      </w:r>
    </w:p>
    <w:p>
      <w:pPr>
        <w:pStyle w:val="Heading2"/>
      </w:pPr>
      <w:r>
        <w:t>A.1  Input 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Pr>
          <w:p>
            <w:pPr>
              <w:jc w:val="center"/>
            </w:pPr>
            <w:r>
              <w:rPr>
                <w:b/>
                <w:color w:val="FFFFFF"/>
                <w:sz w:val="20"/>
              </w:rPr>
              <w:t>Parameter</w:t>
            </w:r>
          </w:p>
        </w:tc>
        <w:tc>
          <w:tcPr>
            <w:tcW w:type="dxa" w:w="3120"/>
            <w:shd w:val="clear" w:color="auto" w:fill="1F497D"/>
          </w:tcPr>
          <w:p>
            <w:pPr>
              <w:jc w:val="center"/>
            </w:pPr>
            <w:r>
              <w:rPr>
                <w:b/>
                <w:color w:val="FFFFFF"/>
                <w:sz w:val="20"/>
              </w:rPr>
              <w:t>Options / Range</w:t>
            </w:r>
          </w:p>
        </w:tc>
        <w:tc>
          <w:tcPr>
            <w:tcW w:type="dxa" w:w="3120"/>
            <w:shd w:val="clear" w:color="auto" w:fill="1F497D"/>
          </w:tcPr>
          <w:p>
            <w:pPr>
              <w:jc w:val="center"/>
            </w:pPr>
            <w:r>
              <w:rPr>
                <w:b/>
                <w:color w:val="FFFFFF"/>
                <w:sz w:val="20"/>
              </w:rPr>
              <w:t>Role in the Model</w:t>
            </w:r>
          </w:p>
        </w:tc>
      </w:tr>
      <w:tr>
        <w:tc>
          <w:tcPr>
            <w:tcW w:type="dxa" w:w="3120"/>
          </w:tcPr>
          <w:p>
            <w:r>
              <w:rPr>
                <w:sz w:val="20"/>
              </w:rPr>
              <w:t>Company Home Country</w:t>
            </w:r>
          </w:p>
        </w:tc>
        <w:tc>
          <w:tcPr>
            <w:tcW w:type="dxa" w:w="3120"/>
          </w:tcPr>
          <w:p>
            <w:r>
              <w:rPr>
                <w:sz w:val="20"/>
              </w:rPr>
              <w:t>Any of ~150 countries in the psychic-distance matrix</w:t>
            </w:r>
          </w:p>
        </w:tc>
        <w:tc>
          <w:tcPr>
            <w:tcW w:type="dxa" w:w="3120"/>
          </w:tcPr>
          <w:p>
            <w:r>
              <w:rPr>
                <w:sz w:val="20"/>
              </w:rPr>
              <w:t>Identifies the origin country of the violating firm; used to retrieve the bilateral psychic distance to each target market</w:t>
            </w:r>
          </w:p>
        </w:tc>
      </w:tr>
      <w:tr>
        <w:tc>
          <w:tcPr>
            <w:tcW w:type="dxa" w:w="3120"/>
            <w:shd w:val="clear" w:color="auto" w:fill="DCE6F1"/>
          </w:tcPr>
          <w:p>
            <w:r>
              <w:rPr>
                <w:sz w:val="20"/>
              </w:rPr>
              <w:t>Target Markets</w:t>
            </w:r>
          </w:p>
        </w:tc>
        <w:tc>
          <w:tcPr>
            <w:tcW w:type="dxa" w:w="3120"/>
            <w:shd w:val="clear" w:color="auto" w:fill="DCE6F1"/>
          </w:tcPr>
          <w:p>
            <w:r>
              <w:rPr>
                <w:sz w:val="20"/>
              </w:rPr>
              <w:t>Any subset of ~150 countries (multi-select, continent-grouped)</w:t>
            </w:r>
          </w:p>
        </w:tc>
        <w:tc>
          <w:tcPr>
            <w:tcW w:type="dxa" w:w="3120"/>
            <w:shd w:val="clear" w:color="auto" w:fill="DCE6F1"/>
          </w:tcPr>
          <w:p>
            <w:r>
              <w:rPr>
                <w:sz w:val="20"/>
              </w:rPr>
              <w:t>Countries for which predictions are generated; the home country is excluded automatically</w:t>
            </w:r>
          </w:p>
        </w:tc>
      </w:tr>
      <w:tr>
        <w:tc>
          <w:tcPr>
            <w:tcW w:type="dxa" w:w="3120"/>
          </w:tcPr>
          <w:p>
            <w:r>
              <w:rPr>
                <w:sz w:val="20"/>
              </w:rPr>
              <w:t>ESG Violation Category</w:t>
            </w:r>
          </w:p>
        </w:tc>
        <w:tc>
          <w:tcPr>
            <w:tcW w:type="dxa" w:w="3120"/>
          </w:tcPr>
          <w:p>
            <w:r>
              <w:rPr>
                <w:sz w:val="20"/>
              </w:rPr>
              <w:t>Environmental · Social · Governance</w:t>
            </w:r>
          </w:p>
        </w:tc>
        <w:tc>
          <w:tcPr>
            <w:tcW w:type="dxa" w:w="3120"/>
          </w:tcPr>
          <w:p>
            <w:r>
              <w:rPr>
                <w:sz w:val="20"/>
              </w:rPr>
              <w:t>Selects the corresponding panel-model coefficients from estimates.json</w:t>
            </w:r>
          </w:p>
        </w:tc>
      </w:tr>
      <w:tr>
        <w:tc>
          <w:tcPr>
            <w:tcW w:type="dxa" w:w="3120"/>
            <w:shd w:val="clear" w:color="auto" w:fill="DCE6F1"/>
          </w:tcPr>
          <w:p>
            <w:r>
              <w:rPr>
                <w:sz w:val="20"/>
              </w:rPr>
              <w:t>Baseline Negative Sentiment Share (%)</w:t>
            </w:r>
          </w:p>
        </w:tc>
        <w:tc>
          <w:tcPr>
            <w:tcW w:type="dxa" w:w="3120"/>
            <w:shd w:val="clear" w:color="auto" w:fill="DCE6F1"/>
          </w:tcPr>
          <w:p>
            <w:r>
              <w:rPr>
                <w:sz w:val="20"/>
              </w:rPr>
              <w:t>0 – 100 (default: 20%)</w:t>
            </w:r>
          </w:p>
        </w:tc>
        <w:tc>
          <w:tcPr>
            <w:tcW w:type="dxa" w:w="3120"/>
            <w:shd w:val="clear" w:color="auto" w:fill="DCE6F1"/>
          </w:tcPr>
          <w:p>
            <w:r>
              <w:rPr>
                <w:sz w:val="20"/>
              </w:rPr>
              <w:t>The proportion of tweets about the company that carry negative sentiment before the incident; serves as the reference level for the conversion from log-scale effects to percentage-point changes</w:t>
            </w:r>
          </w:p>
        </w:tc>
      </w:tr>
    </w:tbl>
    <w:p/>
    <w:p>
      <w:pPr>
        <w:pStyle w:val="Heading2"/>
      </w:pPr>
      <w:r>
        <w:t>A.2  Output Panels</w:t>
      </w:r>
    </w:p>
    <w:p>
      <w:pPr>
        <w:spacing w:before="0" w:after="80"/>
      </w:pPr>
      <w:r>
        <w:rPr>
          <w:b w:val="0"/>
          <w:i w:val="0"/>
          <w:sz w:val="22"/>
        </w:rPr>
        <w:t>Upon submission the dashboard renders three panels in the results area.</w:t>
      </w:r>
    </w:p>
    <w:p>
      <w:pPr>
        <w:pStyle w:val="ListBullet"/>
        <w:spacing w:after="60"/>
        <w:ind w:left="283"/>
      </w:pPr>
      <w:r>
        <w:rPr>
          <w:sz w:val="22"/>
        </w:rPr>
        <w:t>Global Impact Map. A Plotly choropleth map colours each selected target market according to the predicted impact in percentage points (pp). Blue shades indicate a muted or negative response (the incident does not increase negative sentiment above baseline), while red shades signal backlash (negative sentiment rises). The violating company's home country is highlighted in black. Interactive tooltips display the exact numerical predictions.</w:t>
      </w:r>
    </w:p>
    <w:p>
      <w:pPr>
        <w:pStyle w:val="ListBullet"/>
        <w:spacing w:after="60"/>
        <w:ind w:left="283"/>
      </w:pPr>
      <w:r>
        <w:rPr>
          <w:sz w:val="22"/>
        </w:rPr>
        <w:t>Detailed Predictions by Market. A sortable table reports, for each target market: the bilateral psychic distance to the home country, the immediate post-incident impact in percentage points, the predicted absolute negative-sentiment share on Day 1, and the average negative-sentiment share over the 30-day simulation window. Rows are colour-coded by impact magnitude: high backlash (&gt; 2 pp), medium backlash (1–2 pp), low backlash (0–1 pp), and muted response (&lt; 0 pp). The full table can be exported as a comma-separated values (CSV) file.</w:t>
      </w:r>
    </w:p>
    <w:p>
      <w:pPr>
        <w:pStyle w:val="ListBullet"/>
        <w:spacing w:after="60"/>
        <w:ind w:left="283"/>
      </w:pPr>
      <w:r>
        <w:rPr>
          <w:sz w:val="22"/>
        </w:rPr>
        <w:t>30-Day Impact Timeline. A line chart traces the simulated trajectory of negative sentiment for the ten markets with the largest absolute impact over the 30-day post-incident window. Each line begins at the model-predicted Day-1 level and decays exponentially back toward baseline. The chart enables readers to compare how quickly backlash fades across culturally proximate versus distant markets.</w:t>
      </w:r>
    </w:p>
    <w:p/>
    <w:p>
      <w:pPr>
        <w:pStyle w:val="Heading1"/>
      </w:pPr>
      <w:r>
        <w:t>B. Econometric Foundation and Effect Estimation</w:t>
      </w:r>
    </w:p>
    <w:p>
      <w:pPr>
        <w:pStyle w:val="Heading2"/>
      </w:pPr>
      <w:r>
        <w:t>B.1  Underlying Panel Model</w:t>
      </w:r>
    </w:p>
    <w:p>
      <w:pPr>
        <w:spacing w:before="0" w:after="80"/>
      </w:pPr>
      <w:r>
        <w:rPr>
          <w:b w:val="0"/>
          <w:i w:val="0"/>
          <w:sz w:val="22"/>
        </w:rPr>
        <w:t>The predictions are derived from panel fixed-effects regressions estimated on a country-day dataset of Twitter/X activity surrounding corporate ESG-violation events. The dependent variable is the natural logarithm of the share of negative tweets on a given day in a given market:</w:t>
      </w:r>
    </w:p>
    <w:p>
      <w:pPr>
        <w:spacing w:before="80" w:after="80"/>
        <w:jc w:val="center"/>
      </w:pPr>
      <w:r>
        <w:rPr>
          <w:rFonts w:ascii="Courier New" w:hAnsi="Courier New"/>
          <w:sz w:val="20"/>
        </w:rPr>
        <w:t>y_{it}  =  ln( negative_tweets_{it} / total_tweets_{it} )</w:t>
      </w:r>
    </w:p>
    <w:p>
      <w:pPr>
        <w:spacing w:before="0" w:after="80"/>
      </w:pPr>
      <w:r>
        <w:rPr>
          <w:b w:val="0"/>
          <w:i w:val="0"/>
          <w:sz w:val="22"/>
        </w:rPr>
        <w:t>Using the log of the share rather than the raw count controls for differences in overall Twitter activity across countries and time. The baseline specification for each violation category k is:</w:t>
      </w:r>
    </w:p>
    <w:p>
      <w:pPr>
        <w:spacing w:before="80" w:after="80"/>
        <w:jc w:val="center"/>
      </w:pPr>
      <w:r>
        <w:rPr>
          <w:rFonts w:ascii="Courier New" w:hAnsi="Courier New"/>
          <w:sz w:val="20"/>
        </w:rPr>
        <w:t>y_{it}  =  α_i  +  α_t  +  β₁ Incident_{t}  +  β₂ (Incident_{t} × PsychDist_i)  +  γ Z_{it}  +  ε_{it}</w:t>
      </w:r>
    </w:p>
    <w:p>
      <w:pPr>
        <w:spacing w:before="0" w:after="160"/>
      </w:pPr>
      <w:r>
        <w:rPr>
          <w:b w:val="0"/>
          <w:i w:val="0"/>
          <w:sz w:val="22"/>
        </w:rPr>
        <w:t>where α_i and α_t denote country and time fixed effects, respectively; Incident_{t} is a binary indicator equal to 1 on all days from the event date onward during the observation window; PsychDist_i is the bilateral psychic distance between the violating company's home country and market i (Kogut–Singh index); Z_{it} is a vector of additional moderators (Long-Term Orientation for the Environmental model; unemployment rate for the Social and Governance models) and their interactions with the incident indicator; and ε_{it} is the idiosyncratic error term.</w:t>
      </w:r>
    </w:p>
    <w:p>
      <w:pPr>
        <w:pStyle w:val="Heading2"/>
      </w:pPr>
      <w:r>
        <w:t>B.2  Model Coefficients</w:t>
      </w:r>
    </w:p>
    <w:p>
      <w:pPr>
        <w:spacing w:before="0" w:after="120"/>
      </w:pPr>
      <w:r>
        <w:rPr>
          <w:b w:val="0"/>
          <w:i w:val="0"/>
          <w:sz w:val="22"/>
        </w:rPr>
        <w:t>Table B1 reports the incident-related coefficients that enter the dashboard calculations. Main effects of the moderator variables (psychic distance, LTO, unemployment) are absorbed by the country fixed effects and do not contribute to the predicted incident impact.</w:t>
      </w:r>
    </w:p>
    <w:p>
      <w:pPr>
        <w:spacing w:before="120" w:after="40"/>
      </w:pPr>
      <w:r>
        <w:rPr>
          <w:b/>
          <w:i w:val="0"/>
          <w:sz w:val="20"/>
        </w:rPr>
        <w:t>Table B1</w:t>
      </w:r>
    </w:p>
    <w:p>
      <w:pPr>
        <w:spacing w:before="0" w:after="80"/>
      </w:pPr>
      <w:r>
        <w:rPr>
          <w:b w:val="0"/>
          <w:i/>
          <w:sz w:val="20"/>
        </w:rPr>
        <w:t>Incident-Related Coefficients by ESG Violation Category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pPr>
              <w:jc w:val="center"/>
            </w:pPr>
            <w:r>
              <w:rPr>
                <w:b/>
                <w:color w:val="FFFFFF"/>
                <w:sz w:val="20"/>
              </w:rPr>
              <w:t>Term</w:t>
            </w:r>
          </w:p>
        </w:tc>
        <w:tc>
          <w:tcPr>
            <w:tcW w:type="dxa" w:w="2340"/>
            <w:shd w:val="clear" w:color="auto" w:fill="1F497D"/>
          </w:tcPr>
          <w:p>
            <w:pPr>
              <w:jc w:val="center"/>
            </w:pPr>
            <w:r>
              <w:rPr>
                <w:b/>
                <w:color w:val="FFFFFF"/>
                <w:sz w:val="20"/>
              </w:rPr>
              <w:t>Environmental</w:t>
            </w:r>
          </w:p>
        </w:tc>
        <w:tc>
          <w:tcPr>
            <w:tcW w:type="dxa" w:w="2340"/>
            <w:shd w:val="clear" w:color="auto" w:fill="1F497D"/>
          </w:tcPr>
          <w:p>
            <w:pPr>
              <w:jc w:val="center"/>
            </w:pPr>
            <w:r>
              <w:rPr>
                <w:b/>
                <w:color w:val="FFFFFF"/>
                <w:sz w:val="20"/>
              </w:rPr>
              <w:t>Social</w:t>
            </w:r>
          </w:p>
        </w:tc>
        <w:tc>
          <w:tcPr>
            <w:tcW w:type="dxa" w:w="2340"/>
            <w:shd w:val="clear" w:color="auto" w:fill="1F497D"/>
          </w:tcPr>
          <w:p>
            <w:pPr>
              <w:jc w:val="center"/>
            </w:pPr>
            <w:r>
              <w:rPr>
                <w:b/>
                <w:color w:val="FFFFFF"/>
                <w:sz w:val="20"/>
              </w:rPr>
              <w:t>Governance</w:t>
            </w:r>
          </w:p>
        </w:tc>
      </w:tr>
      <w:tr>
        <w:tc>
          <w:tcPr>
            <w:tcW w:type="dxa" w:w="2340"/>
          </w:tcPr>
          <w:p>
            <w:r>
              <w:rPr>
                <w:sz w:val="20"/>
              </w:rPr>
              <w:t>Incident (β₁)</w:t>
            </w:r>
          </w:p>
        </w:tc>
        <w:tc>
          <w:tcPr>
            <w:tcW w:type="dxa" w:w="2340"/>
          </w:tcPr>
          <w:p>
            <w:pPr>
              <w:jc w:val="center"/>
            </w:pPr>
            <w:r>
              <w:rPr>
                <w:sz w:val="20"/>
              </w:rPr>
              <w:t>+0.0190</w:t>
            </w:r>
          </w:p>
        </w:tc>
        <w:tc>
          <w:tcPr>
            <w:tcW w:type="dxa" w:w="2340"/>
          </w:tcPr>
          <w:p>
            <w:pPr>
              <w:jc w:val="center"/>
            </w:pPr>
            <w:r>
              <w:rPr>
                <w:sz w:val="20"/>
              </w:rPr>
              <w:t>+0.0080</w:t>
            </w:r>
          </w:p>
        </w:tc>
        <w:tc>
          <w:tcPr>
            <w:tcW w:type="dxa" w:w="2340"/>
          </w:tcPr>
          <w:p>
            <w:pPr>
              <w:jc w:val="center"/>
            </w:pPr>
            <w:r>
              <w:rPr>
                <w:sz w:val="20"/>
              </w:rPr>
              <w:t>+0.0280</w:t>
            </w:r>
          </w:p>
        </w:tc>
      </w:tr>
      <w:tr>
        <w:tc>
          <w:tcPr>
            <w:tcW w:type="dxa" w:w="2340"/>
            <w:shd w:val="clear" w:color="auto" w:fill="DCE6F1"/>
          </w:tcPr>
          <w:p>
            <w:r>
              <w:rPr>
                <w:sz w:val="20"/>
              </w:rPr>
              <w:t>Incident × Psychic Distance</w:t>
            </w:r>
          </w:p>
        </w:tc>
        <w:tc>
          <w:tcPr>
            <w:tcW w:type="dxa" w:w="2340"/>
            <w:shd w:val="clear" w:color="auto" w:fill="DCE6F1"/>
          </w:tcPr>
          <w:p>
            <w:pPr>
              <w:jc w:val="center"/>
            </w:pPr>
            <w:r>
              <w:rPr>
                <w:sz w:val="20"/>
              </w:rPr>
              <w:t>−0.0040</w:t>
            </w:r>
          </w:p>
        </w:tc>
        <w:tc>
          <w:tcPr>
            <w:tcW w:type="dxa" w:w="2340"/>
            <w:shd w:val="clear" w:color="auto" w:fill="DCE6F1"/>
          </w:tcPr>
          <w:p>
            <w:pPr>
              <w:jc w:val="center"/>
            </w:pPr>
            <w:r>
              <w:rPr>
                <w:sz w:val="20"/>
              </w:rPr>
              <w:t>−0.0020</w:t>
            </w:r>
          </w:p>
        </w:tc>
        <w:tc>
          <w:tcPr>
            <w:tcW w:type="dxa" w:w="2340"/>
            <w:shd w:val="clear" w:color="auto" w:fill="DCE6F1"/>
          </w:tcPr>
          <w:p>
            <w:pPr>
              <w:jc w:val="center"/>
            </w:pPr>
            <w:r>
              <w:rPr>
                <w:sz w:val="20"/>
              </w:rPr>
              <w:t>−0.0070</w:t>
            </w:r>
          </w:p>
        </w:tc>
      </w:tr>
      <w:tr>
        <w:tc>
          <w:tcPr>
            <w:tcW w:type="dxa" w:w="2340"/>
          </w:tcPr>
          <w:p>
            <w:r>
              <w:rPr>
                <w:sz w:val="20"/>
              </w:rPr>
              <w:t>Incident × LTO</w:t>
            </w:r>
          </w:p>
        </w:tc>
        <w:tc>
          <w:tcPr>
            <w:tcW w:type="dxa" w:w="2340"/>
          </w:tcPr>
          <w:p>
            <w:pPr>
              <w:jc w:val="center"/>
            </w:pPr>
            <w:r>
              <w:rPr>
                <w:sz w:val="20"/>
              </w:rPr>
              <w:t>+0.0010</w:t>
            </w:r>
          </w:p>
        </w:tc>
        <w:tc>
          <w:tcPr>
            <w:tcW w:type="dxa" w:w="2340"/>
          </w:tcPr>
          <w:p>
            <w:pPr>
              <w:jc w:val="center"/>
            </w:pPr>
            <w:r>
              <w:rPr>
                <w:sz w:val="20"/>
              </w:rPr>
              <w:t>—</w:t>
            </w:r>
          </w:p>
        </w:tc>
        <w:tc>
          <w:tcPr>
            <w:tcW w:type="dxa" w:w="2340"/>
          </w:tcPr>
          <w:p>
            <w:pPr>
              <w:jc w:val="center"/>
            </w:pPr>
            <w:r>
              <w:rPr>
                <w:sz w:val="20"/>
              </w:rPr>
              <w:t>—</w:t>
            </w:r>
          </w:p>
        </w:tc>
      </w:tr>
      <w:tr>
        <w:tc>
          <w:tcPr>
            <w:tcW w:type="dxa" w:w="2340"/>
            <w:shd w:val="clear" w:color="auto" w:fill="DCE6F1"/>
          </w:tcPr>
          <w:p>
            <w:r>
              <w:rPr>
                <w:sz w:val="20"/>
              </w:rPr>
              <w:t>Incident × LTO × Psych. Dist.</w:t>
            </w:r>
          </w:p>
        </w:tc>
        <w:tc>
          <w:tcPr>
            <w:tcW w:type="dxa" w:w="2340"/>
            <w:shd w:val="clear" w:color="auto" w:fill="DCE6F1"/>
          </w:tcPr>
          <w:p>
            <w:pPr>
              <w:jc w:val="center"/>
            </w:pPr>
            <w:r>
              <w:rPr>
                <w:sz w:val="20"/>
              </w:rPr>
              <w:t>+0.0010</w:t>
            </w:r>
          </w:p>
        </w:tc>
        <w:tc>
          <w:tcPr>
            <w:tcW w:type="dxa" w:w="2340"/>
            <w:shd w:val="clear" w:color="auto" w:fill="DCE6F1"/>
          </w:tcPr>
          <w:p>
            <w:pPr>
              <w:jc w:val="center"/>
            </w:pPr>
            <w:r>
              <w:rPr>
                <w:sz w:val="20"/>
              </w:rPr>
              <w:t>—</w:t>
            </w:r>
          </w:p>
        </w:tc>
        <w:tc>
          <w:tcPr>
            <w:tcW w:type="dxa" w:w="2340"/>
            <w:shd w:val="clear" w:color="auto" w:fill="DCE6F1"/>
          </w:tcPr>
          <w:p>
            <w:pPr>
              <w:jc w:val="center"/>
            </w:pPr>
            <w:r>
              <w:rPr>
                <w:sz w:val="20"/>
              </w:rPr>
              <w:t>—</w:t>
            </w:r>
          </w:p>
        </w:tc>
      </w:tr>
      <w:tr>
        <w:tc>
          <w:tcPr>
            <w:tcW w:type="dxa" w:w="2340"/>
          </w:tcPr>
          <w:p>
            <w:r>
              <w:rPr>
                <w:sz w:val="20"/>
              </w:rPr>
              <w:t>Incident × Unemployment</w:t>
            </w:r>
          </w:p>
        </w:tc>
        <w:tc>
          <w:tcPr>
            <w:tcW w:type="dxa" w:w="2340"/>
          </w:tcPr>
          <w:p>
            <w:pPr>
              <w:jc w:val="center"/>
            </w:pPr>
            <w:r>
              <w:rPr>
                <w:sz w:val="20"/>
              </w:rPr>
              <w:t>—</w:t>
            </w:r>
          </w:p>
        </w:tc>
        <w:tc>
          <w:tcPr>
            <w:tcW w:type="dxa" w:w="2340"/>
          </w:tcPr>
          <w:p>
            <w:pPr>
              <w:jc w:val="center"/>
            </w:pPr>
            <w:r>
              <w:rPr>
                <w:sz w:val="20"/>
              </w:rPr>
              <w:t>+0.0010</w:t>
            </w:r>
          </w:p>
        </w:tc>
        <w:tc>
          <w:tcPr>
            <w:tcW w:type="dxa" w:w="2340"/>
          </w:tcPr>
          <w:p>
            <w:pPr>
              <w:jc w:val="center"/>
            </w:pPr>
            <w:r>
              <w:rPr>
                <w:sz w:val="20"/>
              </w:rPr>
              <w:t>−0.0010</w:t>
            </w:r>
          </w:p>
        </w:tc>
      </w:tr>
      <w:tr>
        <w:tc>
          <w:tcPr>
            <w:tcW w:type="dxa" w:w="2340"/>
            <w:shd w:val="clear" w:color="auto" w:fill="DCE6F1"/>
          </w:tcPr>
          <w:p>
            <w:r>
              <w:rPr>
                <w:sz w:val="20"/>
              </w:rPr>
              <w:t>Incident × Unemp. × Psych. Dist.</w:t>
            </w:r>
          </w:p>
        </w:tc>
        <w:tc>
          <w:tcPr>
            <w:tcW w:type="dxa" w:w="2340"/>
            <w:shd w:val="clear" w:color="auto" w:fill="DCE6F1"/>
          </w:tcPr>
          <w:p>
            <w:pPr>
              <w:jc w:val="center"/>
            </w:pPr>
            <w:r>
              <w:rPr>
                <w:sz w:val="20"/>
              </w:rPr>
              <w:t>—</w:t>
            </w:r>
          </w:p>
        </w:tc>
        <w:tc>
          <w:tcPr>
            <w:tcW w:type="dxa" w:w="2340"/>
            <w:shd w:val="clear" w:color="auto" w:fill="DCE6F1"/>
          </w:tcPr>
          <w:p>
            <w:pPr>
              <w:jc w:val="center"/>
            </w:pPr>
            <w:r>
              <w:rPr>
                <w:sz w:val="20"/>
              </w:rPr>
              <w:t>+0.0010</w:t>
            </w:r>
          </w:p>
        </w:tc>
        <w:tc>
          <w:tcPr>
            <w:tcW w:type="dxa" w:w="2340"/>
            <w:shd w:val="clear" w:color="auto" w:fill="DCE6F1"/>
          </w:tcPr>
          <w:p>
            <w:pPr>
              <w:jc w:val="center"/>
            </w:pPr>
            <w:r>
              <w:rPr>
                <w:sz w:val="20"/>
              </w:rPr>
              <w:t>−0.0010</w:t>
            </w:r>
          </w:p>
        </w:tc>
      </w:tr>
    </w:tbl>
    <w:p/>
    <w:p>
      <w:pPr>
        <w:spacing w:before="40" w:after="120"/>
      </w:pPr>
      <w:r>
        <w:rPr>
          <w:b/>
          <w:i/>
          <w:sz w:val="18"/>
        </w:rPr>
        <w:t xml:space="preserve">Note. </w:t>
      </w:r>
      <w:r>
        <w:rPr>
          <w:i/>
          <w:sz w:val="18"/>
        </w:rPr>
        <w:t>LTO = Long-Term Orientation (Hofstede). Unemployment is the national unemployment rate (%). Psychic distance follows the Kogut–Singh composite index. All coefficients reflect the within-country, within-time variation estimated by the panel fixed-effects model. Dashes indicate that the variable does not enter the respective sub-model.</w:t>
      </w:r>
    </w:p>
    <w:p>
      <w:pPr>
        <w:pStyle w:val="Heading2"/>
      </w:pPr>
      <w:r>
        <w:t>B.3  Computing the Incident Effect</w:t>
      </w:r>
    </w:p>
    <w:p>
      <w:pPr>
        <w:spacing w:before="0" w:after="80"/>
      </w:pPr>
      <w:r>
        <w:rPr>
          <w:b w:val="0"/>
          <w:i w:val="0"/>
          <w:sz w:val="22"/>
        </w:rPr>
        <w:t>For a given home country h and target market i, the dashboard computes the total log-scale incident effect as a linear combination of the estimated coefficients and the observed moderator values:</w:t>
      </w:r>
    </w:p>
    <w:p>
      <w:pPr>
        <w:spacing w:before="0" w:after="40"/>
      </w:pPr>
      <w:r>
        <w:rPr>
          <w:b/>
          <w:i w:val="0"/>
          <w:sz w:val="22"/>
        </w:rPr>
        <w:t>Environmental model:</w:t>
      </w:r>
    </w:p>
    <w:p>
      <w:pPr>
        <w:spacing w:before="80" w:after="80"/>
        <w:jc w:val="center"/>
      </w:pPr>
      <w:r>
        <w:rPr>
          <w:rFonts w:ascii="Courier New" w:hAnsi="Courier New"/>
          <w:sz w:val="20"/>
        </w:rPr>
        <w:t>Effect_i  =  β₁  +  β₂ · PsychDist_{hi}  +  β₃ · LTO_i  +  β₄ · (LTO_i × PsychDist_{hi})</w:t>
      </w:r>
    </w:p>
    <w:p>
      <w:pPr>
        <w:spacing w:before="0" w:after="40"/>
      </w:pPr>
      <w:r>
        <w:rPr>
          <w:b/>
          <w:i w:val="0"/>
          <w:sz w:val="22"/>
        </w:rPr>
        <w:t>Social and Governance models:</w:t>
      </w:r>
    </w:p>
    <w:p>
      <w:pPr>
        <w:spacing w:before="80" w:after="80"/>
        <w:jc w:val="center"/>
      </w:pPr>
      <w:r>
        <w:rPr>
          <w:rFonts w:ascii="Courier New" w:hAnsi="Courier New"/>
          <w:sz w:val="20"/>
        </w:rPr>
        <w:t>Effect_i  =  β₁  +  β₂ · PsychDist_{hi}  +  β₃ · Unemp_i  +  β₄ · (Unemp_i × PsychDist_{hi})</w:t>
      </w:r>
    </w:p>
    <w:p>
      <w:pPr>
        <w:spacing w:before="0" w:after="80"/>
      </w:pPr>
      <w:r>
        <w:rPr>
          <w:b w:val="0"/>
          <w:i w:val="0"/>
          <w:sz w:val="22"/>
        </w:rPr>
        <w:t>Because the dependent variable is the log of the negative-sentiment share, the effect must be converted to a percentage-point change for interpretability. Let S₀ denote the baseline negative-sentiment share (entered by the user as a percentage divided by 100). The post-incident share and the percentage-point impact are:</w:t>
      </w:r>
    </w:p>
    <w:p>
      <w:pPr>
        <w:spacing w:before="80" w:after="80"/>
        <w:jc w:val="center"/>
      </w:pPr>
      <w:r>
        <w:rPr>
          <w:rFonts w:ascii="Courier New" w:hAnsi="Courier New"/>
          <w:sz w:val="20"/>
        </w:rPr>
        <w:t>S₁  =  S₀ · exp( Effect_i )</w:t>
      </w:r>
    </w:p>
    <w:p>
      <w:pPr>
        <w:spacing w:before="80" w:after="80"/>
        <w:jc w:val="center"/>
      </w:pPr>
      <w:r>
        <w:rPr>
          <w:rFonts w:ascii="Courier New" w:hAnsi="Courier New"/>
          <w:sz w:val="20"/>
        </w:rPr>
        <w:t>Impact (pp)  =  ( S₁ − S₀ ) × 100</w:t>
      </w:r>
    </w:p>
    <w:p>
      <w:pPr>
        <w:spacing w:before="0" w:after="160"/>
      </w:pPr>
      <w:r>
        <w:rPr>
          <w:b w:val="0"/>
          <w:i w:val="0"/>
          <w:sz w:val="22"/>
        </w:rPr>
        <w:t>A positive Impact (pp) value indicates that the incident increases the share of negative tweets relative to baseline — i.e., social media backlash. A negative value means the incident is associated with a muted response in that market: the negative-sentiment share does not rise above pre-incident levels.</w:t>
      </w:r>
    </w:p>
    <w:p>
      <w:pPr>
        <w:pStyle w:val="Heading2"/>
      </w:pPr>
      <w:r>
        <w:t>B.4  Worked Example</w:t>
      </w:r>
    </w:p>
    <w:p>
      <w:pPr>
        <w:spacing w:before="0" w:after="80"/>
      </w:pPr>
      <w:r>
        <w:rPr>
          <w:b w:val="0"/>
          <w:i w:val="0"/>
          <w:sz w:val="22"/>
        </w:rPr>
        <w:t>Consider a U.S.-headquartered firm committing a Governance violation; the target market is Germany, with a psychic distance of 2.1 (Kogut–Singh units), an unemployment rate of 3.2%, and a user-specified baseline negativity of 20% (S₀ = 0.20).</w:t>
      </w:r>
    </w:p>
    <w:p>
      <w:pPr>
        <w:spacing w:before="80" w:after="80"/>
        <w:jc w:val="center"/>
      </w:pPr>
      <w:r>
        <w:rPr>
          <w:rFonts w:ascii="Courier New" w:hAnsi="Courier New"/>
          <w:sz w:val="20"/>
        </w:rPr>
        <w:t>Effect  =  0.028  +  (−0.007 × 2.1)  +  (−0.001 × 3.2)  +  (−0.001 × 3.2 × 2.1)</w:t>
      </w:r>
    </w:p>
    <w:p>
      <w:pPr>
        <w:spacing w:before="80" w:after="80"/>
        <w:jc w:val="center"/>
      </w:pPr>
      <w:r>
        <w:rPr>
          <w:rFonts w:ascii="Courier New" w:hAnsi="Courier New"/>
          <w:sz w:val="20"/>
        </w:rPr>
        <w:t xml:space="preserve">       =  0.028  −  0.0147  −  0.0032  −  0.00672</w:t>
      </w:r>
    </w:p>
    <w:p>
      <w:pPr>
        <w:spacing w:before="80" w:after="80"/>
        <w:jc w:val="center"/>
      </w:pPr>
      <w:r>
        <w:rPr>
          <w:rFonts w:ascii="Courier New" w:hAnsi="Courier New"/>
          <w:sz w:val="20"/>
        </w:rPr>
        <w:t xml:space="preserve">       =  0.00338</w:t>
      </w:r>
    </w:p>
    <w:p>
      <w:pPr>
        <w:spacing w:before="80" w:after="80"/>
        <w:jc w:val="center"/>
      </w:pPr>
      <w:r>
        <w:rPr>
          <w:rFonts w:ascii="Courier New" w:hAnsi="Courier New"/>
          <w:sz w:val="20"/>
        </w:rPr>
        <w:t>S₁  =  0.20 × exp(0.00338)  ≈  0.2007</w:t>
      </w:r>
    </w:p>
    <w:p>
      <w:pPr>
        <w:spacing w:before="80" w:after="80"/>
        <w:jc w:val="center"/>
      </w:pPr>
      <w:r>
        <w:rPr>
          <w:rFonts w:ascii="Courier New" w:hAnsi="Courier New"/>
          <w:sz w:val="20"/>
        </w:rPr>
        <w:t>Impact  =  (0.2007 − 0.20) × 100  ≈  +0.07 pp</w:t>
      </w:r>
    </w:p>
    <w:p>
      <w:pPr>
        <w:spacing w:before="0" w:after="160"/>
      </w:pPr>
      <w:r>
        <w:rPr>
          <w:b w:val="0"/>
          <w:i w:val="0"/>
          <w:sz w:val="22"/>
        </w:rPr>
        <w:t>The small positive value reflects that governance violations in a culturally proximate, low-unemployment market like Germany produce a modest, short-lived backlash. By contrast, the same violation generates a larger effect in culturally close markets with low unemployment because the interaction between unemployment and psychic distance attenuates the incident coefficient at high unemployment/high distance combinations.</w:t>
      </w:r>
    </w:p>
    <w:p>
      <w:pPr>
        <w:pStyle w:val="Heading1"/>
      </w:pPr>
      <w:r>
        <w:t>C. 30-Day Post-Incident Simulation</w:t>
      </w:r>
    </w:p>
    <w:p>
      <w:pPr>
        <w:pStyle w:val="Heading2"/>
      </w:pPr>
      <w:r>
        <w:t>C.1  Rationale for an Exponential Decay Model</w:t>
      </w:r>
    </w:p>
    <w:p>
      <w:pPr>
        <w:spacing w:before="0" w:after="80"/>
      </w:pPr>
      <w:r>
        <w:rPr>
          <w:b w:val="0"/>
          <w:i w:val="0"/>
          <w:sz w:val="22"/>
        </w:rPr>
        <w:t>Social media attention to corporate misconduct is well-documented to follow a rapid initial spike followed by exponential decay as news cycles move on and consumer attention shifts (Pfeffer et al. 2014; Kietzmann et al. 2011). We therefore model the day-specific negative-sentiment share as:</w:t>
      </w:r>
    </w:p>
    <w:p>
      <w:pPr>
        <w:spacing w:before="80" w:after="80"/>
        <w:jc w:val="center"/>
      </w:pPr>
      <w:r>
        <w:rPr>
          <w:rFonts w:ascii="Courier New" w:hAnsi="Courier New"/>
          <w:sz w:val="20"/>
        </w:rPr>
        <w:t>S(d)  =  S₀ · exp( Effect_i · δ(d) )</w:t>
      </w:r>
    </w:p>
    <w:p>
      <w:pPr>
        <w:spacing w:before="80" w:after="80"/>
        <w:jc w:val="center"/>
      </w:pPr>
      <w:r>
        <w:rPr>
          <w:rFonts w:ascii="Courier New" w:hAnsi="Courier New"/>
          <w:sz w:val="20"/>
        </w:rPr>
        <w:t>δ(d)  =  exp( −0.05 × (d − 1) ),    d = 1, 2, …, 30</w:t>
      </w:r>
    </w:p>
    <w:p>
      <w:pPr>
        <w:spacing w:before="0" w:after="160"/>
      </w:pPr>
      <w:r>
        <w:rPr>
          <w:b w:val="0"/>
          <w:i w:val="0"/>
          <w:sz w:val="22"/>
        </w:rPr>
        <w:t>where d is the number of days after the incident (Day 1 = incident date), δ(d) is the time-decay factor, and the decay parameter λ = 0.05 implies that the marginal effect of the incident on log-sentiment diminishes by approximately 5% per day. On Day 1 the full log-scale effect is applied (δ(1) = 1); by Day 14 roughly 50% of the initial effect remains (δ(14) ≈ 0.51); and by Day 30 the effect has decayed to approximately 23% of its initial magnitude (δ(30) ≈ 0.23).</w:t>
      </w:r>
    </w:p>
    <w:p>
      <w:pPr>
        <w:pStyle w:val="Heading2"/>
      </w:pPr>
      <w:r>
        <w:t>C.2  Derivation of the Decay Parameter</w:t>
      </w:r>
    </w:p>
    <w:p>
      <w:pPr>
        <w:spacing w:before="0" w:after="160"/>
      </w:pPr>
      <w:r>
        <w:rPr>
          <w:b w:val="0"/>
          <w:i w:val="0"/>
          <w:sz w:val="22"/>
        </w:rPr>
        <w:t>The decay rate λ = 0.05 corresponds to a half-life of ln(2)/0.05 ≈ 13.9 days, consistent with the empirical observation that social media reaction to corporate ESG incidents typically subsides within two to three weeks for most firm–market combinations. The parameter can be adjusted directly in the application source code (app.js, function calculatePrediction) to accommodate different assumed attention-decay rates.</w:t>
      </w:r>
    </w:p>
    <w:p>
      <w:pPr>
        <w:pStyle w:val="Heading2"/>
      </w:pPr>
      <w:r>
        <w:t>C.3  Summary Statistic: Average 30-Day Negativity</w:t>
      </w:r>
    </w:p>
    <w:p>
      <w:pPr>
        <w:spacing w:before="0" w:after="80"/>
      </w:pPr>
      <w:r>
        <w:rPr>
          <w:b w:val="0"/>
          <w:i w:val="0"/>
          <w:sz w:val="22"/>
        </w:rPr>
        <w:t>The average negative-sentiment share reported in the table for each market is the arithmetic mean of the day-specific shares over the full 30-day simulation window:</w:t>
      </w:r>
    </w:p>
    <w:p>
      <w:pPr>
        <w:spacing w:before="80" w:after="80"/>
        <w:jc w:val="center"/>
      </w:pPr>
      <w:r>
        <w:rPr>
          <w:rFonts w:ascii="Courier New" w:hAnsi="Courier New"/>
          <w:sz w:val="20"/>
        </w:rPr>
        <w:t>S̄₃₀  =  (1/30) · Σ_{d=1}^{30} S(d)</w:t>
      </w:r>
    </w:p>
    <w:p>
      <w:pPr>
        <w:spacing w:before="0" w:after="160"/>
      </w:pPr>
      <w:r>
        <w:rPr>
          <w:b w:val="0"/>
          <w:i w:val="0"/>
          <w:sz w:val="22"/>
        </w:rPr>
        <w:t>This metric provides a single aggregate measure of the sustained reputational burden borne by the firm in a given market over the month following the incident.</w:t>
      </w:r>
    </w:p>
    <w:p>
      <w:pPr>
        <w:pStyle w:val="Heading2"/>
      </w:pPr>
      <w:r>
        <w:t>C.4  Decay Trajectory: Numerical Illustration</w:t>
      </w:r>
    </w:p>
    <w:p>
      <w:pPr>
        <w:spacing w:before="120" w:after="40"/>
      </w:pPr>
      <w:r>
        <w:rPr>
          <w:b/>
          <w:i w:val="0"/>
          <w:sz w:val="20"/>
        </w:rPr>
        <w:t>Table C1</w:t>
      </w:r>
    </w:p>
    <w:p>
      <w:pPr>
        <w:spacing w:before="0" w:after="80"/>
      </w:pPr>
      <w:r>
        <w:rPr>
          <w:b w:val="0"/>
          <w:i/>
          <w:sz w:val="20"/>
        </w:rPr>
        <w:t>Illustrative 30-Day Decay of the Incident Effect (λ = 0.05)</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Pr>
          <w:p>
            <w:pPr>
              <w:jc w:val="center"/>
            </w:pPr>
            <w:r>
              <w:rPr>
                <w:b/>
                <w:color w:val="FFFFFF"/>
                <w:sz w:val="20"/>
              </w:rPr>
              <w:t>Day (d)</w:t>
            </w:r>
          </w:p>
        </w:tc>
        <w:tc>
          <w:tcPr>
            <w:tcW w:type="dxa" w:w="3120"/>
            <w:shd w:val="clear" w:color="auto" w:fill="1F497D"/>
          </w:tcPr>
          <w:p>
            <w:pPr>
              <w:jc w:val="center"/>
            </w:pPr>
            <w:r>
              <w:rPr>
                <w:b/>
                <w:color w:val="FFFFFF"/>
                <w:sz w:val="20"/>
              </w:rPr>
              <w:t>Decay Factor δ(d)</w:t>
            </w:r>
          </w:p>
        </w:tc>
        <w:tc>
          <w:tcPr>
            <w:tcW w:type="dxa" w:w="3120"/>
            <w:shd w:val="clear" w:color="auto" w:fill="1F497D"/>
          </w:tcPr>
          <w:p>
            <w:pPr>
              <w:jc w:val="center"/>
            </w:pPr>
            <w:r>
              <w:rPr>
                <w:b/>
                <w:color w:val="FFFFFF"/>
                <w:sz w:val="20"/>
              </w:rPr>
              <w:t>Interpretation</w:t>
            </w:r>
          </w:p>
        </w:tc>
      </w:tr>
      <w:tr>
        <w:tc>
          <w:tcPr>
            <w:tcW w:type="dxa" w:w="3120"/>
          </w:tcPr>
          <w:p>
            <w:pPr>
              <w:jc w:val="center"/>
            </w:pPr>
            <w:r>
              <w:rPr>
                <w:sz w:val="20"/>
              </w:rPr>
              <w:t>1</w:t>
            </w:r>
          </w:p>
        </w:tc>
        <w:tc>
          <w:tcPr>
            <w:tcW w:type="dxa" w:w="3120"/>
          </w:tcPr>
          <w:p>
            <w:pPr>
              <w:jc w:val="center"/>
            </w:pPr>
            <w:r>
              <w:rPr>
                <w:sz w:val="20"/>
              </w:rPr>
              <w:t>1.000</w:t>
            </w:r>
          </w:p>
        </w:tc>
        <w:tc>
          <w:tcPr>
            <w:tcW w:type="dxa" w:w="3120"/>
          </w:tcPr>
          <w:p>
            <w:r>
              <w:rPr>
                <w:sz w:val="20"/>
              </w:rPr>
              <w:t>Full incident impact</w:t>
            </w:r>
          </w:p>
        </w:tc>
      </w:tr>
      <w:tr>
        <w:tc>
          <w:tcPr>
            <w:tcW w:type="dxa" w:w="3120"/>
            <w:shd w:val="clear" w:color="auto" w:fill="DCE6F1"/>
          </w:tcPr>
          <w:p>
            <w:pPr>
              <w:jc w:val="center"/>
            </w:pPr>
            <w:r>
              <w:rPr>
                <w:sz w:val="20"/>
              </w:rPr>
              <w:t>5</w:t>
            </w:r>
          </w:p>
        </w:tc>
        <w:tc>
          <w:tcPr>
            <w:tcW w:type="dxa" w:w="3120"/>
            <w:shd w:val="clear" w:color="auto" w:fill="DCE6F1"/>
          </w:tcPr>
          <w:p>
            <w:pPr>
              <w:jc w:val="center"/>
            </w:pPr>
            <w:r>
              <w:rPr>
                <w:sz w:val="20"/>
              </w:rPr>
              <w:t>0.819</w:t>
            </w:r>
          </w:p>
        </w:tc>
        <w:tc>
          <w:tcPr>
            <w:tcW w:type="dxa" w:w="3120"/>
            <w:shd w:val="clear" w:color="auto" w:fill="DCE6F1"/>
          </w:tcPr>
          <w:p>
            <w:r>
              <w:rPr>
                <w:sz w:val="20"/>
              </w:rPr>
              <w:t>c. 82% of initial effect remains</w:t>
            </w:r>
          </w:p>
        </w:tc>
      </w:tr>
      <w:tr>
        <w:tc>
          <w:tcPr>
            <w:tcW w:type="dxa" w:w="3120"/>
          </w:tcPr>
          <w:p>
            <w:pPr>
              <w:jc w:val="center"/>
            </w:pPr>
            <w:r>
              <w:rPr>
                <w:sz w:val="20"/>
              </w:rPr>
              <w:t>10</w:t>
            </w:r>
          </w:p>
        </w:tc>
        <w:tc>
          <w:tcPr>
            <w:tcW w:type="dxa" w:w="3120"/>
          </w:tcPr>
          <w:p>
            <w:pPr>
              <w:jc w:val="center"/>
            </w:pPr>
            <w:r>
              <w:rPr>
                <w:sz w:val="20"/>
              </w:rPr>
              <w:t>0.641</w:t>
            </w:r>
          </w:p>
        </w:tc>
        <w:tc>
          <w:tcPr>
            <w:tcW w:type="dxa" w:w="3120"/>
          </w:tcPr>
          <w:p>
            <w:r>
              <w:rPr>
                <w:sz w:val="20"/>
              </w:rPr>
              <w:t>c. 64% of initial effect remains</w:t>
            </w:r>
          </w:p>
        </w:tc>
      </w:tr>
      <w:tr>
        <w:tc>
          <w:tcPr>
            <w:tcW w:type="dxa" w:w="3120"/>
            <w:shd w:val="clear" w:color="auto" w:fill="DCE6F1"/>
          </w:tcPr>
          <w:p>
            <w:pPr>
              <w:jc w:val="center"/>
            </w:pPr>
            <w:r>
              <w:rPr>
                <w:sz w:val="20"/>
              </w:rPr>
              <w:t>14</w:t>
            </w:r>
          </w:p>
        </w:tc>
        <w:tc>
          <w:tcPr>
            <w:tcW w:type="dxa" w:w="3120"/>
            <w:shd w:val="clear" w:color="auto" w:fill="DCE6F1"/>
          </w:tcPr>
          <w:p>
            <w:pPr>
              <w:jc w:val="center"/>
            </w:pPr>
            <w:r>
              <w:rPr>
                <w:sz w:val="20"/>
              </w:rPr>
              <w:t>0.513</w:t>
            </w:r>
          </w:p>
        </w:tc>
        <w:tc>
          <w:tcPr>
            <w:tcW w:type="dxa" w:w="3120"/>
            <w:shd w:val="clear" w:color="auto" w:fill="DCE6F1"/>
          </w:tcPr>
          <w:p>
            <w:r>
              <w:rPr>
                <w:sz w:val="20"/>
              </w:rPr>
              <w:t>Half-life crossed (50% threshold)</w:t>
            </w:r>
          </w:p>
        </w:tc>
      </w:tr>
      <w:tr>
        <w:tc>
          <w:tcPr>
            <w:tcW w:type="dxa" w:w="3120"/>
          </w:tcPr>
          <w:p>
            <w:pPr>
              <w:jc w:val="center"/>
            </w:pPr>
            <w:r>
              <w:rPr>
                <w:sz w:val="20"/>
              </w:rPr>
              <w:t>20</w:t>
            </w:r>
          </w:p>
        </w:tc>
        <w:tc>
          <w:tcPr>
            <w:tcW w:type="dxa" w:w="3120"/>
          </w:tcPr>
          <w:p>
            <w:pPr>
              <w:jc w:val="center"/>
            </w:pPr>
            <w:r>
              <w:rPr>
                <w:sz w:val="20"/>
              </w:rPr>
              <w:t>0.387</w:t>
            </w:r>
          </w:p>
        </w:tc>
        <w:tc>
          <w:tcPr>
            <w:tcW w:type="dxa" w:w="3120"/>
          </w:tcPr>
          <w:p>
            <w:r>
              <w:rPr>
                <w:sz w:val="20"/>
              </w:rPr>
              <w:t>c. 39% of initial effect remains</w:t>
            </w:r>
          </w:p>
        </w:tc>
      </w:tr>
      <w:tr>
        <w:tc>
          <w:tcPr>
            <w:tcW w:type="dxa" w:w="3120"/>
            <w:shd w:val="clear" w:color="auto" w:fill="DCE6F1"/>
          </w:tcPr>
          <w:p>
            <w:pPr>
              <w:jc w:val="center"/>
            </w:pPr>
            <w:r>
              <w:rPr>
                <w:sz w:val="20"/>
              </w:rPr>
              <w:t>25</w:t>
            </w:r>
          </w:p>
        </w:tc>
        <w:tc>
          <w:tcPr>
            <w:tcW w:type="dxa" w:w="3120"/>
            <w:shd w:val="clear" w:color="auto" w:fill="DCE6F1"/>
          </w:tcPr>
          <w:p>
            <w:pPr>
              <w:jc w:val="center"/>
            </w:pPr>
            <w:r>
              <w:rPr>
                <w:sz w:val="20"/>
              </w:rPr>
              <w:t>0.301</w:t>
            </w:r>
          </w:p>
        </w:tc>
        <w:tc>
          <w:tcPr>
            <w:tcW w:type="dxa" w:w="3120"/>
            <w:shd w:val="clear" w:color="auto" w:fill="DCE6F1"/>
          </w:tcPr>
          <w:p>
            <w:r>
              <w:rPr>
                <w:sz w:val="20"/>
              </w:rPr>
              <w:t>c. 30% of initial effect remains</w:t>
            </w:r>
          </w:p>
        </w:tc>
      </w:tr>
      <w:tr>
        <w:tc>
          <w:tcPr>
            <w:tcW w:type="dxa" w:w="3120"/>
          </w:tcPr>
          <w:p>
            <w:pPr>
              <w:jc w:val="center"/>
            </w:pPr>
            <w:r>
              <w:rPr>
                <w:sz w:val="20"/>
              </w:rPr>
              <w:t>30</w:t>
            </w:r>
          </w:p>
        </w:tc>
        <w:tc>
          <w:tcPr>
            <w:tcW w:type="dxa" w:w="3120"/>
          </w:tcPr>
          <w:p>
            <w:pPr>
              <w:jc w:val="center"/>
            </w:pPr>
            <w:r>
              <w:rPr>
                <w:sz w:val="20"/>
              </w:rPr>
              <w:t>0.233</w:t>
            </w:r>
          </w:p>
        </w:tc>
        <w:tc>
          <w:tcPr>
            <w:tcW w:type="dxa" w:w="3120"/>
          </w:tcPr>
          <w:p>
            <w:r>
              <w:rPr>
                <w:sz w:val="20"/>
              </w:rPr>
              <w:t>c. 23% of initial effect remains</w:t>
            </w:r>
          </w:p>
        </w:tc>
      </w:tr>
    </w:tbl>
    <w:p/>
    <w:p>
      <w:pPr>
        <w:pStyle w:val="Heading1"/>
      </w:pPr>
      <w:r>
        <w:t>D. Technical Details</w:t>
      </w:r>
    </w:p>
    <w:p>
      <w:pPr>
        <w:pStyle w:val="Heading2"/>
      </w:pPr>
      <w:r>
        <w:t>D.1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pPr>
              <w:jc w:val="center"/>
            </w:pPr>
            <w:r>
              <w:rPr>
                <w:b/>
                <w:color w:val="FFFFFF"/>
                <w:sz w:val="19"/>
              </w:rPr>
              <w:t>Data File</w:t>
            </w:r>
          </w:p>
        </w:tc>
        <w:tc>
          <w:tcPr>
            <w:tcW w:type="dxa" w:w="2340"/>
            <w:shd w:val="clear" w:color="auto" w:fill="1F497D"/>
          </w:tcPr>
          <w:p>
            <w:pPr>
              <w:jc w:val="center"/>
            </w:pPr>
            <w:r>
              <w:rPr>
                <w:b/>
                <w:color w:val="FFFFFF"/>
                <w:sz w:val="19"/>
              </w:rPr>
              <w:t>Variable</w:t>
            </w:r>
          </w:p>
        </w:tc>
        <w:tc>
          <w:tcPr>
            <w:tcW w:type="dxa" w:w="2340"/>
            <w:shd w:val="clear" w:color="auto" w:fill="1F497D"/>
          </w:tcPr>
          <w:p>
            <w:pPr>
              <w:jc w:val="center"/>
            </w:pPr>
            <w:r>
              <w:rPr>
                <w:b/>
                <w:color w:val="FFFFFF"/>
                <w:sz w:val="19"/>
              </w:rPr>
              <w:t>Coverage</w:t>
            </w:r>
          </w:p>
        </w:tc>
        <w:tc>
          <w:tcPr>
            <w:tcW w:type="dxa" w:w="2340"/>
            <w:shd w:val="clear" w:color="auto" w:fill="1F497D"/>
          </w:tcPr>
          <w:p>
            <w:pPr>
              <w:jc w:val="center"/>
            </w:pPr>
            <w:r>
              <w:rPr>
                <w:b/>
                <w:color w:val="FFFFFF"/>
                <w:sz w:val="19"/>
              </w:rPr>
              <w:t>Source / Construction</w:t>
            </w:r>
          </w:p>
        </w:tc>
      </w:tr>
      <w:tr>
        <w:tc>
          <w:tcPr>
            <w:tcW w:type="dxa" w:w="2340"/>
          </w:tcPr>
          <w:p>
            <w:r>
              <w:rPr>
                <w:sz w:val="19"/>
              </w:rPr>
              <w:t>distances.json</w:t>
            </w:r>
          </w:p>
        </w:tc>
        <w:tc>
          <w:tcPr>
            <w:tcW w:type="dxa" w:w="2340"/>
          </w:tcPr>
          <w:p>
            <w:r>
              <w:rPr>
                <w:sz w:val="19"/>
              </w:rPr>
              <w:t>Psychic distance (Kogut–Singh composite index)</w:t>
            </w:r>
          </w:p>
        </w:tc>
        <w:tc>
          <w:tcPr>
            <w:tcW w:type="dxa" w:w="2340"/>
          </w:tcPr>
          <w:p>
            <w:r>
              <w:rPr>
                <w:sz w:val="19"/>
              </w:rPr>
              <w:t>~150 countries; 22,350 bilateral pairs</w:t>
            </w:r>
          </w:p>
        </w:tc>
        <w:tc>
          <w:tcPr>
            <w:tcW w:type="dxa" w:w="2340"/>
          </w:tcPr>
          <w:p>
            <w:r>
              <w:rPr>
                <w:sz w:val="19"/>
              </w:rPr>
              <w:t>Kogut &amp; Singh (1988) formula applied to Hofstede's six cultural dimensions; bilateral matrix symmetric</w:t>
            </w:r>
          </w:p>
        </w:tc>
      </w:tr>
      <w:tr>
        <w:tc>
          <w:tcPr>
            <w:tcW w:type="dxa" w:w="2340"/>
            <w:shd w:val="clear" w:color="auto" w:fill="DCE6F1"/>
          </w:tcPr>
          <w:p>
            <w:r>
              <w:rPr>
                <w:sz w:val="19"/>
              </w:rPr>
              <w:t>lto.json</w:t>
            </w:r>
          </w:p>
        </w:tc>
        <w:tc>
          <w:tcPr>
            <w:tcW w:type="dxa" w:w="2340"/>
            <w:shd w:val="clear" w:color="auto" w:fill="DCE6F1"/>
          </w:tcPr>
          <w:p>
            <w:r>
              <w:rPr>
                <w:sz w:val="19"/>
              </w:rPr>
              <w:t>Long-Term Orientation (LTO) index</w:t>
            </w:r>
          </w:p>
        </w:tc>
        <w:tc>
          <w:tcPr>
            <w:tcW w:type="dxa" w:w="2340"/>
            <w:shd w:val="clear" w:color="auto" w:fill="DCE6F1"/>
          </w:tcPr>
          <w:p>
            <w:r>
              <w:rPr>
                <w:sz w:val="19"/>
              </w:rPr>
              <w:t>109 countries</w:t>
            </w:r>
          </w:p>
        </w:tc>
        <w:tc>
          <w:tcPr>
            <w:tcW w:type="dxa" w:w="2340"/>
            <w:shd w:val="clear" w:color="auto" w:fill="DCE6F1"/>
          </w:tcPr>
          <w:p>
            <w:r>
              <w:rPr>
                <w:sz w:val="19"/>
              </w:rPr>
              <w:t>Hofstede Insights country scores (6th dimension); used exclusively in the Environmental sub-model</w:t>
            </w:r>
          </w:p>
        </w:tc>
      </w:tr>
      <w:tr>
        <w:tc>
          <w:tcPr>
            <w:tcW w:type="dxa" w:w="2340"/>
          </w:tcPr>
          <w:p>
            <w:r>
              <w:rPr>
                <w:sz w:val="19"/>
              </w:rPr>
              <w:t>unemployment.json</w:t>
            </w:r>
          </w:p>
        </w:tc>
        <w:tc>
          <w:tcPr>
            <w:tcW w:type="dxa" w:w="2340"/>
          </w:tcPr>
          <w:p>
            <w:r>
              <w:rPr>
                <w:sz w:val="19"/>
              </w:rPr>
              <w:t>National unemployment rate (%)</w:t>
            </w:r>
          </w:p>
        </w:tc>
        <w:tc>
          <w:tcPr>
            <w:tcW w:type="dxa" w:w="2340"/>
          </w:tcPr>
          <w:p>
            <w:r>
              <w:rPr>
                <w:sz w:val="19"/>
              </w:rPr>
              <w:t>180 countries</w:t>
            </w:r>
          </w:p>
        </w:tc>
        <w:tc>
          <w:tcPr>
            <w:tcW w:type="dxa" w:w="2340"/>
          </w:tcPr>
          <w:p>
            <w:r>
              <w:rPr>
                <w:sz w:val="19"/>
              </w:rPr>
              <w:t>World Bank World Development Indicators; most recent available annual rate per country</w:t>
            </w:r>
          </w:p>
        </w:tc>
      </w:tr>
      <w:tr>
        <w:tc>
          <w:tcPr>
            <w:tcW w:type="dxa" w:w="2340"/>
            <w:shd w:val="clear" w:color="auto" w:fill="DCE6F1"/>
          </w:tcPr>
          <w:p>
            <w:r>
              <w:rPr>
                <w:sz w:val="19"/>
              </w:rPr>
              <w:t>estimates.json</w:t>
            </w:r>
          </w:p>
        </w:tc>
        <w:tc>
          <w:tcPr>
            <w:tcW w:type="dxa" w:w="2340"/>
            <w:shd w:val="clear" w:color="auto" w:fill="DCE6F1"/>
          </w:tcPr>
          <w:p>
            <w:r>
              <w:rPr>
                <w:sz w:val="19"/>
              </w:rPr>
              <w:t>Panel-model coefficients</w:t>
            </w:r>
          </w:p>
        </w:tc>
        <w:tc>
          <w:tcPr>
            <w:tcW w:type="dxa" w:w="2340"/>
            <w:shd w:val="clear" w:color="auto" w:fill="DCE6F1"/>
          </w:tcPr>
          <w:p>
            <w:r>
              <w:rPr>
                <w:sz w:val="19"/>
              </w:rPr>
              <w:t>3 ESG categories × up to 7 terms</w:t>
            </w:r>
          </w:p>
        </w:tc>
        <w:tc>
          <w:tcPr>
            <w:tcW w:type="dxa" w:w="2340"/>
            <w:shd w:val="clear" w:color="auto" w:fill="DCE6F1"/>
          </w:tcPr>
          <w:p>
            <w:r>
              <w:rPr>
                <w:sz w:val="19"/>
              </w:rPr>
              <w:t>Authors' own estimation on the Twitter/ESG event dataset described in the main paper (Section 3)</w:t>
            </w:r>
          </w:p>
        </w:tc>
      </w:tr>
    </w:tbl>
    <w:p/>
    <w:p>
      <w:pPr>
        <w:pStyle w:val="Heading2"/>
      </w:pPr>
      <w:r>
        <w:t>D.2  Psychic Distance Computation</w:t>
      </w:r>
    </w:p>
    <w:p>
      <w:pPr>
        <w:spacing w:before="0" w:after="80"/>
      </w:pPr>
      <w:r>
        <w:rPr>
          <w:b w:val="0"/>
          <w:i w:val="0"/>
          <w:sz w:val="22"/>
        </w:rPr>
        <w:t>Psychic distance is operationalised as the Kogut–Singh (1988) composite index computed across Hofstede's (1980, 2001) six cultural dimensions: Power Distance (PDI), Individualism (IDV), Masculinity (MAS), Uncertainty Avoidance (UAI), Long-Term Orientation (LTO), and Indulgence versus Restraint (IVR). The index for country pair (h, i) is:</w:t>
      </w:r>
    </w:p>
    <w:p>
      <w:pPr>
        <w:spacing w:before="80" w:after="80"/>
        <w:jc w:val="center"/>
      </w:pPr>
      <w:r>
        <w:rPr>
          <w:rFonts w:ascii="Courier New" w:hAnsi="Courier New"/>
          <w:sz w:val="20"/>
        </w:rPr>
        <w:t>PsychDist_{hi}  =  (1/6) · Σ_{k=1}^{6}  { (H_{kh} − H_{ki})² / V_k }</w:t>
      </w:r>
    </w:p>
    <w:p>
      <w:pPr>
        <w:spacing w:before="0" w:after="160"/>
      </w:pPr>
      <w:r>
        <w:rPr>
          <w:b w:val="0"/>
          <w:i w:val="0"/>
          <w:sz w:val="22"/>
        </w:rPr>
        <w:t>where H_{kj} is the score of country j on dimension k and V_k is the variance of dimension k across all countries in the sample (used for standardisation). Higher values indicate greater cultural distance between the two countries.</w:t>
      </w:r>
    </w:p>
    <w:p>
      <w:pPr>
        <w:pStyle w:val="Heading2"/>
      </w:pPr>
      <w:r>
        <w:t>D.3  Architecture and Implementation</w:t>
      </w:r>
    </w:p>
    <w:p>
      <w:pPr>
        <w:spacing w:before="0" w:after="80"/>
      </w:pPr>
      <w:r>
        <w:rPr>
          <w:b w:val="0"/>
          <w:i w:val="0"/>
          <w:sz w:val="22"/>
        </w:rPr>
        <w:t>The dashboard is a fully client-side single-page application requiring no server-side logic or database backend. All computation is executed in the user's browser via JavaScript. The following libraries are used:</w:t>
      </w:r>
    </w:p>
    <w:p>
      <w:pPr>
        <w:pStyle w:val="ListBullet"/>
        <w:spacing w:after="60"/>
        <w:ind w:left="283"/>
      </w:pPr>
      <w:r>
        <w:rPr>
          <w:sz w:val="22"/>
        </w:rPr>
        <w:t>Bootstrap 5.3 — responsive layout and UI components</w:t>
      </w:r>
    </w:p>
    <w:p>
      <w:pPr>
        <w:pStyle w:val="ListBullet"/>
        <w:spacing w:after="60"/>
        <w:ind w:left="283"/>
      </w:pPr>
      <w:r>
        <w:rPr>
          <w:sz w:val="22"/>
        </w:rPr>
        <w:t>Bootstrap Icons 1.11 — iconography</w:t>
      </w:r>
    </w:p>
    <w:p>
      <w:pPr>
        <w:pStyle w:val="ListBullet"/>
        <w:spacing w:after="60"/>
        <w:ind w:left="283"/>
      </w:pPr>
      <w:r>
        <w:rPr>
          <w:sz w:val="22"/>
        </w:rPr>
        <w:t>Plotly.js 2.27 — interactive choropleth map and timeline chart</w:t>
      </w:r>
    </w:p>
    <w:p>
      <w:pPr>
        <w:spacing w:before="0" w:after="160"/>
      </w:pPr>
      <w:r>
        <w:rPr>
          <w:b w:val="0"/>
          <w:i w:val="0"/>
          <w:sz w:val="22"/>
        </w:rPr>
        <w:t>Data files are loaded asynchronously at page startup via the Fetch API. Prediction calculations run synchronously in under 100 ms for up to 150 target markets. The application has been tested on Chrome/Edge 90+, Firefox 88+, and Safari 14+.</w:t>
      </w:r>
    </w:p>
    <w:p>
      <w:pPr>
        <w:pStyle w:val="Heading2"/>
      </w:pPr>
      <w:r>
        <w:t>D.4  Handling of Missing Data</w:t>
      </w:r>
    </w:p>
    <w:p>
      <w:pPr>
        <w:spacing w:before="0" w:after="80"/>
      </w:pPr>
      <w:r>
        <w:rPr>
          <w:b w:val="0"/>
          <w:i w:val="0"/>
          <w:sz w:val="22"/>
        </w:rPr>
        <w:t>Not all country pairs have psychic-distance values, and not all countries have LTO or unemployment data. The application handles these cases as follows:</w:t>
      </w:r>
    </w:p>
    <w:p>
      <w:pPr>
        <w:pStyle w:val="ListBullet"/>
        <w:spacing w:after="60"/>
        <w:ind w:left="283"/>
      </w:pPr>
      <w:r>
        <w:rPr>
          <w:sz w:val="22"/>
        </w:rPr>
        <w:t>Missing bilateral psychic distance: the target market is silently excluded from the results set. Users can verify coverage by inspecting the distance matrix (distances.json).</w:t>
      </w:r>
    </w:p>
    <w:p>
      <w:pPr>
        <w:pStyle w:val="ListBullet"/>
        <w:spacing w:after="60"/>
        <w:ind w:left="283"/>
      </w:pPr>
      <w:r>
        <w:rPr>
          <w:sz w:val="22"/>
        </w:rPr>
        <w:t>Missing LTO score (Environmental model): the LTO-related interaction terms are set to zero, effectively treating the market as having a neutral LTO score relative to its moderating influence on the incident effect.</w:t>
      </w:r>
    </w:p>
    <w:p>
      <w:pPr>
        <w:pStyle w:val="ListBullet"/>
        <w:spacing w:after="60"/>
        <w:ind w:left="283"/>
      </w:pPr>
      <w:r>
        <w:rPr>
          <w:sz w:val="22"/>
        </w:rPr>
        <w:t>Missing unemployment rate (Social/Governance models): the unemployment interaction terms are set to zero, preserving the core incident and psychic-distance effects.</w:t>
      </w:r>
    </w:p>
    <w:p>
      <w:pPr>
        <w:spacing w:before="0" w:after="160"/>
      </w:pPr>
      <w:r>
        <w:rPr>
          <w:b w:val="0"/>
          <w:i w:val="0"/>
          <w:sz w:val="22"/>
        </w:rPr>
        <w:t>Country names are matched with a case-insensitive fuzzy lookup to accommodate minor spelling differences across data sources (e.g., "Czechia" vs. "Czech Republic").</w:t>
      </w:r>
    </w:p>
    <w:p>
      <w:pPr>
        <w:pStyle w:val="Heading2"/>
      </w:pPr>
      <w:r>
        <w:t>D.5  Reproducibility</w:t>
      </w:r>
    </w:p>
    <w:p>
      <w:pPr>
        <w:spacing w:before="0" w:after="160"/>
      </w:pPr>
      <w:r>
        <w:rPr>
          <w:b w:val="0"/>
          <w:i w:val="0"/>
          <w:sz w:val="22"/>
        </w:rPr>
        <w:t>The complete application source code (index.html, app.js, styles.css) and all data files (estimates.json, distances.json, lto.json, unemployment.json) are provided in the online supplement. The tool can be run locally by serving the directory with any static HTTP server (e.g., python3 -m http.server 8000) or deployed without modification to any static hosting service such as GitHub Pages. No external API calls or authentication are required.</w:t>
      </w:r>
    </w:p>
    <w:p>
      <w:pPr>
        <w:pStyle w:val="Heading1"/>
      </w:pPr>
      <w:r>
        <w:t>References</w:t>
      </w:r>
    </w:p>
    <w:p>
      <w:pPr>
        <w:spacing w:before="0" w:after="120"/>
        <w:ind w:left="720" w:hanging="720"/>
      </w:pPr>
      <w:r>
        <w:rPr>
          <w:sz w:val="20"/>
        </w:rPr>
        <w:t>Hofstede, G. (1980). Culture's consequences: International differences in work-related values. Sage.</w:t>
      </w:r>
    </w:p>
    <w:p>
      <w:pPr>
        <w:spacing w:before="0" w:after="120"/>
        <w:ind w:left="720" w:hanging="720"/>
      </w:pPr>
      <w:r>
        <w:rPr>
          <w:sz w:val="20"/>
        </w:rPr>
        <w:t>Hofstede, G. (2001). Culture's consequences: Comparing values, behaviors, institutions, and organizations across nations (2nd ed.). Sage.</w:t>
      </w:r>
    </w:p>
    <w:p>
      <w:pPr>
        <w:spacing w:before="0" w:after="120"/>
        <w:ind w:left="720" w:hanging="720"/>
      </w:pPr>
      <w:r>
        <w:rPr>
          <w:sz w:val="20"/>
        </w:rPr>
        <w:t>Kietzmann, J. H., Hermkens, K., McCarthy, I. P., &amp; Silvestre, B. S. (2011). Social media? Get serious! Understanding the functional building blocks of social media. Business Horizons, 54(3), 241–251.</w:t>
      </w:r>
    </w:p>
    <w:p>
      <w:pPr>
        <w:spacing w:before="0" w:after="120"/>
        <w:ind w:left="720" w:hanging="720"/>
      </w:pPr>
      <w:r>
        <w:rPr>
          <w:sz w:val="20"/>
        </w:rPr>
        <w:t>Kogut, B., &amp; Singh, H. (1988). The effect of national culture on the choice of entry mode. Journal of International Business Studies, 19(3), 411–432.</w:t>
      </w:r>
    </w:p>
    <w:p>
      <w:pPr>
        <w:spacing w:before="0" w:after="120"/>
        <w:ind w:left="720" w:hanging="720"/>
      </w:pPr>
      <w:r>
        <w:rPr>
          <w:sz w:val="20"/>
        </w:rPr>
        <w:t>Pfeffer, J., Zorbach, T., &amp; Carley, K. M. (2014). Understanding online firestorms: Negative word-of-mouth dynamics in social media networks. Journal of Marketing Communications, 20(1–2), 117–128.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