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2023-11-13</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numPr>
          <w:ilvl w:val="0"/>
          <w:numId w:val="1001"/>
        </w:numPr>
        <w:pStyle w:val="Compact"/>
      </w:pPr>
      <w:r>
        <w:t xml:space="preserve">Value proposition (Why?)</w:t>
      </w:r>
    </w:p>
    <w:p>
      <w:pPr>
        <w:numPr>
          <w:ilvl w:val="0"/>
          <w:numId w:val="1001"/>
        </w:numPr>
        <w:pStyle w:val="Compact"/>
      </w:pPr>
      <w:r>
        <w:t xml:space="preserve">List / key information (bulleted)</w:t>
      </w:r>
    </w:p>
    <w:p>
      <w:pPr>
        <w:numPr>
          <w:ilvl w:val="0"/>
          <w:numId w:val="1001"/>
        </w:numPr>
        <w:pStyle w:val="Compact"/>
      </w:pPr>
      <w:r>
        <w:t xml:space="preserve">References list</w:t>
      </w:r>
    </w:p>
    <w:bookmarkEnd w:id="25"/>
    <w:bookmarkEnd w:id="26"/>
    <w:bookmarkEnd w:id="27"/>
    <w:bookmarkStart w:id="99" w:name="make-your-data-software-ready"/>
    <w:p>
      <w:pPr>
        <w:pStyle w:val="Heading1"/>
      </w:pPr>
      <w:r>
        <w:t xml:space="preserve">MAKE YOUR DATA SOFTWARE READY</w:t>
      </w:r>
    </w:p>
    <w:bookmarkStart w:id="34" w:name="use-non-proprietary-formats"/>
    <w:p>
      <w:pPr>
        <w:pStyle w:val="Heading2"/>
      </w:pPr>
      <w:r>
        <w:t xml:space="preserve">Use non-proprietary formats</w:t>
      </w:r>
    </w:p>
    <w:bookmarkStart w:id="28" w:name="why"/>
    <w:p>
      <w:pPr>
        <w:pStyle w:val="Heading3"/>
      </w:pPr>
      <w:r>
        <w:t xml:space="preserve">Why?</w:t>
      </w:r>
    </w:p>
    <w:p>
      <w:pPr>
        <w:numPr>
          <w:ilvl w:val="0"/>
          <w:numId w:val="1002"/>
        </w:numPr>
        <w:pStyle w:val="Compact"/>
      </w:pPr>
      <w:r>
        <w:t xml:space="preserve">Allows data to be useful in perpetuity by ensuring data readability and reusability across multiple platforms.</w:t>
      </w:r>
    </w:p>
    <w:p>
      <w:pPr>
        <w:numPr>
          <w:ilvl w:val="0"/>
          <w:numId w:val="1002"/>
        </w:numPr>
        <w:pStyle w:val="Compact"/>
      </w:pPr>
      <w:r>
        <w:t xml:space="preserve">To align better with the FAIR principles (findability, accessibility, interoperability, reusability)</w:t>
      </w:r>
    </w:p>
    <w:p>
      <w:pPr>
        <w:numPr>
          <w:ilvl w:val="0"/>
          <w:numId w:val="1002"/>
        </w:numPr>
        <w:pStyle w:val="Compact"/>
      </w:pPr>
      <w:r>
        <w:t xml:space="preserve">Makes data more socially equitable, supporting open science. Proprietary formats can depend on software that require licenses, which not everyone can afford/has access to.</w:t>
      </w:r>
    </w:p>
    <w:bookmarkEnd w:id="28"/>
    <w:bookmarkStart w:id="30" w:name="key-information"/>
    <w:p>
      <w:pPr>
        <w:pStyle w:val="Heading3"/>
      </w:pPr>
      <w:r>
        <w:t xml:space="preserve">Key Information</w:t>
      </w:r>
    </w:p>
    <w:p>
      <w:pPr>
        <w:numPr>
          <w:ilvl w:val="0"/>
          <w:numId w:val="1003"/>
        </w:numPr>
        <w:pStyle w:val="Compact"/>
      </w:pPr>
      <w:r>
        <w:rPr>
          <w:iCs/>
          <w:i/>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numPr>
          <w:ilvl w:val="0"/>
          <w:numId w:val="1003"/>
        </w:numPr>
        <w:pStyle w:val="Compact"/>
      </w:pPr>
      <w:r>
        <w:t xml:space="preserve">A</w:t>
      </w:r>
      <w:r>
        <w:t xml:space="preserve"> </w:t>
      </w:r>
      <w:hyperlink r:id="rId29">
        <w:r>
          <w:rPr>
            <w:rStyle w:val="Hyperlink"/>
            <w:iCs/>
            <w:i/>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numPr>
          <w:ilvl w:val="0"/>
          <w:numId w:val="1003"/>
        </w:numPr>
        <w:pStyle w:val="Compact"/>
      </w:pPr>
      <w:r>
        <w:t xml:space="preserve">Many applications (e.g. Microsoft Office) allow exporting in multiple formats.</w:t>
      </w:r>
    </w:p>
    <w:bookmarkEnd w:id="30"/>
    <w:bookmarkStart w:id="33" w:name="top-references"/>
    <w:p>
      <w:pPr>
        <w:pStyle w:val="Heading3"/>
      </w:pPr>
      <w:r>
        <w:t xml:space="preserve">Top References</w:t>
      </w:r>
    </w:p>
    <w:p>
      <w:pPr>
        <w:numPr>
          <w:ilvl w:val="0"/>
          <w:numId w:val="1004"/>
        </w:numPr>
        <w:pStyle w:val="Compact"/>
      </w:pPr>
      <w:r>
        <w:t xml:space="preserve">Table of commonly used formats for common data types</w:t>
      </w:r>
      <w:r>
        <w:br/>
      </w:r>
      <w:hyperlink r:id="rId31">
        <w:r>
          <w:rPr>
            <w:rStyle w:val="Hyperlink"/>
          </w:rPr>
          <w:t xml:space="preserve">https://guides.osu.edu/c.php?g=707751&amp;p=5027409\</w:t>
        </w:r>
      </w:hyperlink>
    </w:p>
    <w:p>
      <w:pPr>
        <w:numPr>
          <w:ilvl w:val="0"/>
          <w:numId w:val="1004"/>
        </w:numPr>
        <w:pStyle w:val="Compact"/>
      </w:pPr>
      <w:r>
        <w:t xml:space="preserve">A more detailed table that is specific to US Federal records management</w:t>
      </w:r>
      <w:r>
        <w:br/>
      </w:r>
      <w:hyperlink r:id="rId32">
        <w:r>
          <w:rPr>
            <w:rStyle w:val="Hyperlink"/>
          </w:rPr>
          <w:t xml:space="preserve">https://www.archives.gov/records-mgmt/policy/transfer-guidance-tables.html\</w:t>
        </w:r>
      </w:hyperlink>
    </w:p>
    <w:bookmarkEnd w:id="33"/>
    <w:bookmarkEnd w:id="34"/>
    <w:bookmarkStart w:id="43" w:name="Xc1061a9790a0cbd7caee0daf26b6a65466d9308"/>
    <w:p>
      <w:pPr>
        <w:pStyle w:val="Heading2"/>
      </w:pPr>
      <w:r>
        <w:t xml:space="preserve">Structure tabular data in tidy/long format</w:t>
      </w:r>
    </w:p>
    <w:bookmarkStart w:id="35" w:name="why-1"/>
    <w:p>
      <w:pPr>
        <w:pStyle w:val="Heading3"/>
      </w:pPr>
      <w:r>
        <w:t xml:space="preserve">Why?</w:t>
      </w:r>
    </w:p>
    <w:p>
      <w:pPr>
        <w:pStyle w:val="FirstParagraph"/>
      </w:pPr>
      <w:r>
        <w:rPr>
          <w:iCs/>
          <w:i/>
        </w:rPr>
        <w:t xml:space="preserve">This is specifically intended for tabular data</w:t>
      </w:r>
    </w:p>
    <w:p>
      <w:pPr>
        <w:numPr>
          <w:ilvl w:val="0"/>
          <w:numId w:val="1005"/>
        </w:numPr>
        <w:pStyle w:val="Compact"/>
      </w:pPr>
      <w:r>
        <w:t xml:space="preserve">There is a clear and easy to understand structure that can make your data more machine readable and easier to analyze/visualize</w:t>
      </w:r>
    </w:p>
    <w:p>
      <w:pPr>
        <w:numPr>
          <w:ilvl w:val="1"/>
          <w:numId w:val="1006"/>
        </w:numPr>
        <w:pStyle w:val="Compact"/>
      </w:pPr>
      <w:r>
        <w:t xml:space="preserve">Clear structure: one observation per row</w:t>
      </w:r>
    </w:p>
    <w:p>
      <w:pPr>
        <w:numPr>
          <w:ilvl w:val="1"/>
          <w:numId w:val="1006"/>
        </w:numPr>
        <w:pStyle w:val="Compact"/>
      </w:pPr>
      <w:r>
        <w:t xml:space="preserve">Data are as atomic as possible (e.g., don’t mix types in field)</w:t>
      </w:r>
    </w:p>
    <w:p>
      <w:pPr>
        <w:numPr>
          <w:ilvl w:val="0"/>
          <w:numId w:val="1005"/>
        </w:numPr>
        <w:pStyle w:val="Compact"/>
      </w:pPr>
      <w:r>
        <w:t xml:space="preserve">In the biological data community, tidy formats are more likely to work with commonly-used software</w:t>
      </w:r>
    </w:p>
    <w:p>
      <w:pPr>
        <w:numPr>
          <w:ilvl w:val="0"/>
          <w:numId w:val="1005"/>
        </w:numPr>
        <w:pStyle w:val="Compact"/>
      </w:pPr>
      <w:r>
        <w:t xml:space="preserve">Easier to aggregate data across multiple files</w:t>
      </w:r>
    </w:p>
    <w:bookmarkEnd w:id="35"/>
    <w:bookmarkStart w:id="36" w:name="key-information-1"/>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bl>
    <w:p>
      <w:pPr>
        <w:numPr>
          <w:ilvl w:val="0"/>
          <w:numId w:val="1007"/>
        </w:numPr>
        <w:pStyle w:val="Compact"/>
      </w:pPr>
      <w:r>
        <w:t xml:space="preserve">Can be tricky working with multiple column datatypes</w:t>
      </w:r>
    </w:p>
    <w:p>
      <w:pPr>
        <w:numPr>
          <w:ilvl w:val="0"/>
          <w:numId w:val="1007"/>
        </w:numPr>
        <w:pStyle w:val="Compact"/>
      </w:pPr>
      <w:r>
        <w:t xml:space="preserve">Don’t use colors or text formatting in tabular data, and only include column names as metadata. All other notes, definitions, etc. should be in an external metadata file (e.g. data dictionary)</w:t>
      </w:r>
    </w:p>
    <w:bookmarkEnd w:id="36"/>
    <w:bookmarkStart w:id="42" w:name="top-references-1"/>
    <w:p>
      <w:pPr>
        <w:pStyle w:val="Heading3"/>
      </w:pPr>
      <w:r>
        <w:t xml:space="preserve">Top References</w:t>
      </w:r>
    </w:p>
    <w:p>
      <w:pPr>
        <w:numPr>
          <w:ilvl w:val="0"/>
          <w:numId w:val="1008"/>
        </w:numPr>
        <w:pStyle w:val="Compact"/>
      </w:pPr>
      <w:r>
        <w:t xml:space="preserve">Wickham, H. (2014). Tidy Data. Journal of Statistical Software, 59(10), 1–23.</w:t>
      </w:r>
      <w:r>
        <w:t xml:space="preserve"> </w:t>
      </w:r>
      <w:hyperlink r:id="rId37">
        <w:r>
          <w:rPr>
            <w:rStyle w:val="Hyperlink"/>
          </w:rPr>
          <w:t xml:space="preserve">https://doi.org/10.18637/jss.v059.i10</w:t>
        </w:r>
      </w:hyperlink>
    </w:p>
    <w:p>
      <w:pPr>
        <w:numPr>
          <w:ilvl w:val="0"/>
          <w:numId w:val="1008"/>
        </w:numPr>
        <w:pStyle w:val="Compact"/>
      </w:pPr>
      <w:r>
        <w:t xml:space="preserve">Data Sharing and Management Snafu in 3 Short Acts (video)</w:t>
      </w:r>
      <w:r>
        <w:br/>
      </w:r>
      <w:hyperlink r:id="rId38">
        <w:r>
          <w:rPr>
            <w:rStyle w:val="Hyperlink"/>
          </w:rPr>
          <w:t xml:space="preserve">https://www.youtube.com/watch?v=N2zK3s=Atr-4&amp;t=7s</w:t>
        </w:r>
      </w:hyperlink>
    </w:p>
    <w:p>
      <w:pPr>
        <w:numPr>
          <w:ilvl w:val="0"/>
          <w:numId w:val="1008"/>
        </w:numPr>
        <w:pStyle w:val="Compact"/>
      </w:pPr>
      <w:r>
        <w:t xml:space="preserve">Tips for working with data in BASH</w:t>
      </w:r>
      <w:r>
        <w:br/>
      </w:r>
      <w:hyperlink r:id="rId39">
        <w:r>
          <w:rPr>
            <w:rStyle w:val="Hyperlink"/>
          </w:rPr>
          <w:t xml:space="preserve">https://www.datafix.com.au/BASHing/2022-01-12.html</w:t>
        </w:r>
      </w:hyperlink>
    </w:p>
    <w:p>
      <w:pPr>
        <w:numPr>
          <w:ilvl w:val="0"/>
          <w:numId w:val="1008"/>
        </w:numPr>
        <w:pStyle w:val="Compact"/>
      </w:pPr>
      <w:r>
        <w:t xml:space="preserve">Data Organization in Spreadsheets for Ecologists</w:t>
      </w:r>
      <w:r>
        <w:br/>
      </w:r>
      <w:hyperlink r:id="rId40">
        <w:r>
          <w:rPr>
            <w:rStyle w:val="Hyperlink"/>
          </w:rPr>
          <w:t xml:space="preserve">https://datacarpentry.org/spreadsheet-ecology-lesson/</w:t>
        </w:r>
      </w:hyperlink>
    </w:p>
    <w:p>
      <w:pPr>
        <w:numPr>
          <w:ilvl w:val="0"/>
          <w:numId w:val="1008"/>
        </w:numPr>
        <w:pStyle w:val="Compact"/>
      </w:pPr>
      <w:r>
        <w:t xml:space="preserve">Cleaning Data and Quality Control</w:t>
      </w:r>
      <w:r>
        <w:br/>
      </w:r>
      <w:hyperlink r:id="rId41">
        <w:r>
          <w:rPr>
            <w:rStyle w:val="Hyperlink"/>
          </w:rPr>
          <w:t xml:space="preserve">https://edirepository.org/resources/cleaning-data-and-quality-control#data-table-structure</w:t>
        </w:r>
      </w:hyperlink>
    </w:p>
    <w:bookmarkEnd w:id="42"/>
    <w:bookmarkEnd w:id="43"/>
    <w:bookmarkStart w:id="55" w:name="follow-iso-8601-for-dates"/>
    <w:p>
      <w:pPr>
        <w:pStyle w:val="Heading2"/>
      </w:pPr>
      <w:r>
        <w:t xml:space="preserve">Follow ISO 8601 for dates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771658"/>
                  <wp:effectExtent b="0" l="0" r="0" t="0"/>
                  <wp:docPr descr="" title="" id="45" name="Picture"/>
                  <a:graphic>
                    <a:graphicData uri="http://schemas.openxmlformats.org/drawingml/2006/picture">
                      <pic:pic>
                        <pic:nvPicPr>
                          <pic:cNvPr descr="https://imgs.xkcd.com/comics/iso_8601.png" id="46" name="Picture"/>
                          <pic:cNvPicPr>
                            <a:picLocks noChangeArrowheads="1" noChangeAspect="1"/>
                          </pic:cNvPicPr>
                        </pic:nvPicPr>
                        <pic:blipFill>
                          <a:blip r:embed="rId44"/>
                          <a:stretch>
                            <a:fillRect/>
                          </a:stretch>
                        </pic:blipFill>
                        <pic:spPr bwMode="auto">
                          <a:xfrm>
                            <a:off x="0" y="0"/>
                            <a:ext cx="2377440" cy="2771658"/>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https://imgs.xkcd.com/comics/iso_8601.png</w:t>
            </w:r>
          </w:p>
        </w:tc>
      </w:tr>
    </w:tbl>
    <w:bookmarkStart w:id="47" w:name="why-2"/>
    <w:p>
      <w:pPr>
        <w:pStyle w:val="Heading3"/>
      </w:pPr>
      <w:r>
        <w:t xml:space="preserve">Why?</w:t>
      </w:r>
    </w:p>
    <w:p>
      <w:pPr>
        <w:numPr>
          <w:ilvl w:val="0"/>
          <w:numId w:val="1009"/>
        </w:numPr>
        <w:pStyle w:val="Compact"/>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numPr>
          <w:ilvl w:val="0"/>
          <w:numId w:val="1009"/>
        </w:numPr>
        <w:pStyle w:val="Compact"/>
      </w:pPr>
      <w:r>
        <w:t xml:space="preserve">Removes ambiguity related to timezone, daylight savings time changes, and time of day</w:t>
      </w:r>
    </w:p>
    <w:p>
      <w:pPr>
        <w:numPr>
          <w:ilvl w:val="0"/>
          <w:numId w:val="1009"/>
        </w:numPr>
        <w:pStyle w:val="Compact"/>
      </w:pPr>
      <w:r>
        <w:t xml:space="preserve">Better software integration of time date/time elements</w:t>
      </w:r>
    </w:p>
    <w:bookmarkEnd w:id="47"/>
    <w:bookmarkStart w:id="49" w:name="key-information-2"/>
    <w:p>
      <w:pPr>
        <w:pStyle w:val="Heading3"/>
      </w:pPr>
      <w:r>
        <w:t xml:space="preserve">Key Information</w:t>
      </w:r>
    </w:p>
    <w:p>
      <w:pPr>
        <w:numPr>
          <w:ilvl w:val="0"/>
          <w:numId w:val="1010"/>
        </w:numPr>
        <w:pStyle w:val="Compact"/>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48">
        <w:r>
          <w:rPr>
            <w:rStyle w:val="Hyperlink"/>
          </w:rPr>
          <w:t xml:space="preserve">from Wikipedia</w:t>
        </w:r>
      </w:hyperlink>
      <w:r>
        <w:t xml:space="preserve">).</w:t>
      </w:r>
    </w:p>
    <w:p>
      <w:pPr>
        <w:numPr>
          <w:ilvl w:val="0"/>
          <w:numId w:val="1010"/>
        </w:numPr>
        <w:pStyle w:val="Compact"/>
      </w:pPr>
      <w:r>
        <w:t xml:space="preserve">Conversion to UTC, or between time zones, may depend on daylight savings</w:t>
      </w:r>
    </w:p>
    <w:p>
      <w:pPr>
        <w:pStyle w:val="FirstParagraph"/>
      </w:pPr>
      <w:r>
        <w:rPr>
          <w:iCs/>
          <w:i/>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Cs/>
          <w:i/>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49"/>
    <w:bookmarkStart w:id="54" w:name="top-references-2"/>
    <w:p>
      <w:pPr>
        <w:pStyle w:val="Heading3"/>
      </w:pPr>
      <w:r>
        <w:t xml:space="preserve">Top References</w:t>
      </w:r>
    </w:p>
    <w:p>
      <w:pPr>
        <w:numPr>
          <w:ilvl w:val="0"/>
          <w:numId w:val="1011"/>
        </w:numPr>
        <w:pStyle w:val="Compact"/>
      </w:pPr>
      <w:r>
        <w:t xml:space="preserve">ISO 8601 wiki:</w:t>
      </w:r>
      <w:r>
        <w:t xml:space="preserve"> </w:t>
      </w:r>
      <w:hyperlink r:id="rId48">
        <w:r>
          <w:rPr>
            <w:rStyle w:val="Hyperlink"/>
          </w:rPr>
          <w:t xml:space="preserve">https://en.wikipedia.org/wiki/ISO_8601</w:t>
        </w:r>
      </w:hyperlink>
    </w:p>
    <w:p>
      <w:pPr>
        <w:numPr>
          <w:ilvl w:val="0"/>
          <w:numId w:val="1011"/>
        </w:numPr>
        <w:pStyle w:val="Compact"/>
      </w:pPr>
      <w:r>
        <w:t xml:space="preserve">R package lubridate, OlsonNames()</w:t>
      </w:r>
    </w:p>
    <w:p>
      <w:pPr>
        <w:numPr>
          <w:ilvl w:val="0"/>
          <w:numId w:val="1011"/>
        </w:numPr>
        <w:pStyle w:val="Compact"/>
      </w:pPr>
      <w:r>
        <w:t xml:space="preserve">Python go-to package, datetime</w:t>
      </w:r>
      <w:r>
        <w:t xml:space="preserve"> </w:t>
      </w:r>
      <w:hyperlink r:id="rId50">
        <w:r>
          <w:rPr>
            <w:rStyle w:val="Hyperlink"/>
          </w:rPr>
          <w:t xml:space="preserve">https://docs.python.org/3/library/datetime.html</w:t>
        </w:r>
      </w:hyperlink>
    </w:p>
    <w:p>
      <w:pPr>
        <w:numPr>
          <w:ilvl w:val="0"/>
          <w:numId w:val="1011"/>
        </w:numPr>
        <w:pStyle w:val="Compact"/>
      </w:pPr>
      <w:r>
        <w:t xml:space="preserve">Article on datetime uncertainty:</w:t>
      </w:r>
      <w:r>
        <w:t xml:space="preserve"> </w:t>
      </w:r>
      <w:hyperlink r:id="rId51">
        <w:r>
          <w:rPr>
            <w:rStyle w:val="Hyperlink"/>
          </w:rPr>
          <w:t xml:space="preserve">https://www.datafix.com.au/BASHing/2020-02-12.html</w:t>
        </w:r>
      </w:hyperlink>
    </w:p>
    <w:p>
      <w:pPr>
        <w:numPr>
          <w:ilvl w:val="0"/>
          <w:numId w:val="1011"/>
        </w:numPr>
        <w:pStyle w:val="Compact"/>
      </w:pPr>
      <w:r>
        <w:t xml:space="preserve">Map of offset from UTC:</w:t>
      </w:r>
      <w:r>
        <w:t xml:space="preserve"> </w:t>
      </w:r>
      <w:hyperlink r:id="rId52">
        <w:r>
          <w:rPr>
            <w:rStyle w:val="Hyperlink"/>
          </w:rPr>
          <w:t xml:space="preserve">https://www.timeanddate.com/time/map/</w:t>
        </w:r>
      </w:hyperlink>
    </w:p>
    <w:p>
      <w:pPr>
        <w:numPr>
          <w:ilvl w:val="0"/>
          <w:numId w:val="1011"/>
        </w:numPr>
        <w:pStyle w:val="Compact"/>
      </w:pPr>
      <w:r>
        <w:t xml:space="preserve">Nice time converter:</w:t>
      </w:r>
      <w:r>
        <w:t xml:space="preserve"> </w:t>
      </w:r>
      <w:hyperlink r:id="rId53">
        <w:r>
          <w:rPr>
            <w:rStyle w:val="Hyperlink"/>
          </w:rPr>
          <w:t xml:space="preserve">https://coastwatch.pfeg.noaa.gov/erddap/convert/time.html</w:t>
        </w:r>
      </w:hyperlink>
    </w:p>
    <w:bookmarkEnd w:id="54"/>
    <w:bookmarkEnd w:id="55"/>
    <w:bookmarkStart w:id="72" w:name="X81f24d3ae615e0ed165a48e75d5a8d2b69781b6"/>
    <w:p>
      <w:pPr>
        <w:pStyle w:val="Heading2"/>
      </w:pPr>
      <w:r>
        <w:t xml:space="preserve">Match scientific names to a taxonomic authority</w:t>
      </w:r>
    </w:p>
    <w:bookmarkStart w:id="56" w:name="why-3"/>
    <w:p>
      <w:pPr>
        <w:pStyle w:val="Heading3"/>
      </w:pPr>
      <w:r>
        <w:t xml:space="preserve">Why?</w:t>
      </w:r>
    </w:p>
    <w:p>
      <w:pPr>
        <w:numPr>
          <w:ilvl w:val="0"/>
          <w:numId w:val="1012"/>
        </w:numPr>
        <w:pStyle w:val="Compact"/>
      </w:pPr>
      <w:r>
        <w:t xml:space="preserve">To integrate or aggregate datasets, we need a common frame of reference for taxonomic name</w:t>
      </w:r>
    </w:p>
    <w:p>
      <w:pPr>
        <w:numPr>
          <w:ilvl w:val="0"/>
          <w:numId w:val="1012"/>
        </w:numPr>
        <w:pStyle w:val="Compact"/>
      </w:pPr>
      <w:r>
        <w:t xml:space="preserve">Provides an anchor for the taxonomy as scientific understanding evolves.</w:t>
      </w:r>
    </w:p>
    <w:bookmarkEnd w:id="56"/>
    <w:bookmarkStart w:id="62" w:name="key-information-3"/>
    <w:p>
      <w:pPr>
        <w:pStyle w:val="Heading3"/>
      </w:pPr>
      <w:r>
        <w:t xml:space="preserve">Key Information</w:t>
      </w:r>
    </w:p>
    <w:p>
      <w:pPr>
        <w:numPr>
          <w:ilvl w:val="0"/>
          <w:numId w:val="1013"/>
        </w:numPr>
        <w:pStyle w:val="Compact"/>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Cs/>
          <w:i/>
        </w:rPr>
        <w:t xml:space="preserve">Balaenoptera borealis</w:t>
      </w:r>
      <w:r>
        <w:t xml:space="preserve"> </w:t>
      </w:r>
      <w:r>
        <w:t xml:space="preserve">(Lesson, 1828), the WoRMS taxonomic authority ID link is</w:t>
      </w:r>
      <w:r>
        <w:t xml:space="preserve"> </w:t>
      </w:r>
      <w:hyperlink r:id="rId57">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numPr>
          <w:ilvl w:val="0"/>
          <w:numId w:val="1013"/>
        </w:numPr>
        <w:pStyle w:val="Compact"/>
      </w:pPr>
      <w:r>
        <w:t xml:space="preserve">Use an existing taxonomic authority (e.g. </w:t>
      </w:r>
      <w:hyperlink r:id="rId58">
        <w:r>
          <w:rPr>
            <w:rStyle w:val="Hyperlink"/>
          </w:rPr>
          <w:t xml:space="preserve">World Register of Marine Species</w:t>
        </w:r>
      </w:hyperlink>
      <w:r>
        <w:t xml:space="preserve"> </w:t>
      </w:r>
      <w:r>
        <w:t xml:space="preserve">,</w:t>
      </w:r>
      <w:r>
        <w:t xml:space="preserve"> </w:t>
      </w:r>
      <w:hyperlink r:id="rId59">
        <w:r>
          <w:rPr>
            <w:rStyle w:val="Hyperlink"/>
          </w:rPr>
          <w:t xml:space="preserve">Integrated Taxonomic Information System</w:t>
        </w:r>
      </w:hyperlink>
      <w:r>
        <w:t xml:space="preserve"> </w:t>
      </w:r>
      <w:r>
        <w:t xml:space="preserve">,</w:t>
      </w:r>
      <w:r>
        <w:t xml:space="preserve"> </w:t>
      </w:r>
      <w:hyperlink r:id="rId60">
        <w:r>
          <w:rPr>
            <w:rStyle w:val="Hyperlink"/>
          </w:rPr>
          <w:t xml:space="preserve">NCBI taxonomy</w:t>
        </w:r>
      </w:hyperlink>
      <w:r>
        <w:t xml:space="preserve">) and include the authority who manages said information in your metadata</w:t>
      </w:r>
    </w:p>
    <w:p>
      <w:pPr>
        <w:numPr>
          <w:ilvl w:val="0"/>
          <w:numId w:val="1013"/>
        </w:numPr>
        <w:pStyle w:val="Compact"/>
      </w:pPr>
      <w:r>
        <w:t xml:space="preserve">List of many authorities can be found here:</w:t>
      </w:r>
      <w:r>
        <w:t xml:space="preserve"> </w:t>
      </w:r>
      <w:hyperlink r:id="rId61">
        <w:r>
          <w:rPr>
            <w:rStyle w:val="Hyperlink"/>
          </w:rPr>
          <w:t xml:space="preserve">https://resolver.globalnames.org/data_sources</w:t>
        </w:r>
      </w:hyperlink>
    </w:p>
    <w:p>
      <w:pPr>
        <w:numPr>
          <w:ilvl w:val="0"/>
          <w:numId w:val="1013"/>
        </w:numPr>
        <w:pStyle w:val="Compact"/>
      </w:pPr>
      <w:r>
        <w:t xml:space="preserve">Make yourself aware of the structure, limits, and history of the authority you are using.</w:t>
      </w:r>
    </w:p>
    <w:p>
      <w:pPr>
        <w:numPr>
          <w:ilvl w:val="0"/>
          <w:numId w:val="1013"/>
        </w:numPr>
        <w:pStyle w:val="Compact"/>
      </w:pPr>
      <w:r>
        <w:t xml:space="preserve">Adopt standard binomial nomenclature, when possible</w:t>
      </w:r>
    </w:p>
    <w:p>
      <w:pPr>
        <w:numPr>
          <w:ilvl w:val="0"/>
          <w:numId w:val="1013"/>
        </w:numPr>
        <w:pStyle w:val="Compact"/>
      </w:pPr>
      <w:r>
        <w:t xml:space="preserve">When possible, reference the unique identifier in addition to the nomenclature.</w:t>
      </w:r>
    </w:p>
    <w:p>
      <w:pPr>
        <w:numPr>
          <w:ilvl w:val="0"/>
          <w:numId w:val="1013"/>
        </w:numPr>
        <w:pStyle w:val="Compact"/>
      </w:pPr>
      <w:r>
        <w:t xml:space="preserve">Always save and document the originally recorded name.</w:t>
      </w:r>
    </w:p>
    <w:p>
      <w:pPr>
        <w:numPr>
          <w:ilvl w:val="0"/>
          <w:numId w:val="1013"/>
        </w:numPr>
        <w:pStyle w:val="Compact"/>
      </w:pPr>
      <w:r>
        <w:t xml:space="preserve">Put notes about identification uncertainty in a separate column.</w:t>
      </w:r>
    </w:p>
    <w:p>
      <w:pPr>
        <w:numPr>
          <w:ilvl w:val="0"/>
          <w:numId w:val="1013"/>
        </w:numPr>
        <w:pStyle w:val="Compact"/>
      </w:pPr>
      <w:r>
        <w:t xml:space="preserve">Many authorities have APIs through which you can match names to identifiers.</w:t>
      </w:r>
    </w:p>
    <w:bookmarkEnd w:id="62"/>
    <w:bookmarkStart w:id="71" w:name="top-references-3"/>
    <w:p>
      <w:pPr>
        <w:pStyle w:val="Heading3"/>
      </w:pPr>
      <w:r>
        <w:t xml:space="preserve">Top References</w:t>
      </w:r>
    </w:p>
    <w:p>
      <w:pPr>
        <w:numPr>
          <w:ilvl w:val="0"/>
          <w:numId w:val="1014"/>
        </w:numPr>
        <w:pStyle w:val="Compact"/>
      </w:pPr>
      <w:r>
        <w:t xml:space="preserve">R packages</w:t>
      </w:r>
    </w:p>
    <w:p>
      <w:pPr>
        <w:numPr>
          <w:ilvl w:val="1"/>
          <w:numId w:val="1015"/>
        </w:numPr>
        <w:pStyle w:val="Compact"/>
      </w:pPr>
      <w:r>
        <w:t xml:space="preserve">taxize is a taxonomic toolbelt for R. taxize wraps APIs for a large suite of taxonomic databases available on the web</w:t>
      </w:r>
      <w:r>
        <w:br/>
      </w:r>
      <w:hyperlink r:id="rId63">
        <w:r>
          <w:rPr>
            <w:rStyle w:val="Hyperlink"/>
          </w:rPr>
          <w:t xml:space="preserve">https://cran.r-project.org/web/packages/taxize/index.html</w:t>
        </w:r>
      </w:hyperlink>
    </w:p>
    <w:p>
      <w:pPr>
        <w:numPr>
          <w:ilvl w:val="1"/>
          <w:numId w:val="1015"/>
        </w:numPr>
        <w:pStyle w:val="Compact"/>
      </w:pPr>
      <w:r>
        <w:t xml:space="preserve">worrms is an API client for</w:t>
      </w:r>
      <w:r>
        <w:t xml:space="preserve"> </w:t>
      </w:r>
      <w:hyperlink r:id="rId64">
        <w:r>
          <w:rPr>
            <w:rStyle w:val="Hyperlink"/>
          </w:rPr>
          <w:t xml:space="preserve">World Register of Marine Species</w:t>
        </w:r>
      </w:hyperlink>
      <w:r>
        <w:br/>
      </w:r>
      <w:hyperlink r:id="rId65">
        <w:r>
          <w:rPr>
            <w:rStyle w:val="Hyperlink"/>
          </w:rPr>
          <w:t xml:space="preserve">http://cran.nexr.com/web/packages/worrms/vignettes/worrms_vignette.html</w:t>
        </w:r>
      </w:hyperlink>
    </w:p>
    <w:p>
      <w:pPr>
        <w:numPr>
          <w:ilvl w:val="1"/>
          <w:numId w:val="1015"/>
        </w:numPr>
        <w:pStyle w:val="Compact"/>
      </w:pPr>
      <w:r>
        <w:t xml:space="preserve">worms: another API client for WoRMS</w:t>
      </w:r>
      <w:r>
        <w:br/>
      </w:r>
      <w:hyperlink r:id="rId66">
        <w:r>
          <w:rPr>
            <w:rStyle w:val="Hyperlink"/>
          </w:rPr>
          <w:t xml:space="preserve">https://cran.r-project.org/web/packages/worms/index.html</w:t>
        </w:r>
      </w:hyperlink>
    </w:p>
    <w:p>
      <w:pPr>
        <w:numPr>
          <w:ilvl w:val="1"/>
          <w:numId w:val="1015"/>
        </w:numPr>
        <w:pStyle w:val="Compact"/>
      </w:pPr>
      <w:r>
        <w:t xml:space="preserve">Ritis: API client for ITIS &lt;https://cran.r-project.org/web/packages/ritis/&gt;</w:t>
      </w:r>
    </w:p>
    <w:p>
      <w:pPr>
        <w:numPr>
          <w:ilvl w:val="0"/>
          <w:numId w:val="1014"/>
        </w:numPr>
        <w:pStyle w:val="Compact"/>
      </w:pPr>
      <w:r>
        <w:t xml:space="preserve">Python packages</w:t>
      </w:r>
    </w:p>
    <w:p>
      <w:pPr>
        <w:numPr>
          <w:ilvl w:val="1"/>
          <w:numId w:val="1016"/>
        </w:numPr>
        <w:pStyle w:val="Compact"/>
      </w:pPr>
      <w:r>
        <w:t xml:space="preserve">WoRMS API client</w:t>
      </w:r>
      <w:r>
        <w:br/>
      </w:r>
      <w:hyperlink r:id="rId67">
        <w:r>
          <w:rPr>
            <w:rStyle w:val="Hyperlink"/>
          </w:rPr>
          <w:t xml:space="preserve">https://github.com/iobis/pyworms</w:t>
        </w:r>
      </w:hyperlink>
    </w:p>
    <w:p>
      <w:pPr>
        <w:numPr>
          <w:ilvl w:val="0"/>
          <w:numId w:val="1014"/>
        </w:numPr>
        <w:pStyle w:val="Compact"/>
      </w:pPr>
      <w:r>
        <w:t xml:space="preserve">Global Names Resolver to compare taxonomic concepts across authorities</w:t>
      </w:r>
      <w:r>
        <w:br/>
      </w:r>
      <w:hyperlink r:id="rId68">
        <w:r>
          <w:rPr>
            <w:rStyle w:val="Hyperlink"/>
          </w:rPr>
          <w:t xml:space="preserve">https://resolver.globalnames.org/</w:t>
        </w:r>
      </w:hyperlink>
    </w:p>
    <w:p>
      <w:pPr>
        <w:numPr>
          <w:ilvl w:val="0"/>
          <w:numId w:val="1014"/>
        </w:numPr>
        <w:pStyle w:val="Compact"/>
      </w:pPr>
      <w:r>
        <w:t xml:space="preserve">Article: Recommendations for the Standardisation of Open Taxonomic Nomenclature for Image-Based Identifications</w:t>
      </w:r>
      <w:r>
        <w:br/>
      </w:r>
      <w:hyperlink r:id="rId69">
        <w:r>
          <w:rPr>
            <w:rStyle w:val="Hyperlink"/>
          </w:rPr>
          <w:t xml:space="preserve">https://doi.org/10.3389/fmars.2021.620702</w:t>
        </w:r>
      </w:hyperlink>
    </w:p>
    <w:p>
      <w:pPr>
        <w:numPr>
          <w:ilvl w:val="0"/>
          <w:numId w:val="1014"/>
        </w:numPr>
        <w:pStyle w:val="Compact"/>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70">
        <w:r>
          <w:rPr>
            <w:rStyle w:val="Hyperlink"/>
          </w:rPr>
          <w:t xml:space="preserve">https://www.youtube.com/watch?v=rmTvUUjBxrI</w:t>
        </w:r>
      </w:hyperlink>
    </w:p>
    <w:bookmarkEnd w:id="71"/>
    <w:bookmarkEnd w:id="72"/>
    <w:bookmarkStart w:id="87" w:name="X08f0ded18be302e9a87f35c81aaf8f8813b6b27"/>
    <w:p>
      <w:pPr>
        <w:pStyle w:val="Heading2"/>
      </w:pPr>
      <w:r>
        <w:t xml:space="preserve">Record latitude and longitude in decimal degrees in WGS84</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368634"/>
                  <wp:effectExtent b="0" l="0" r="0" t="0"/>
                  <wp:docPr descr="" title="" id="74" name="Picture"/>
                  <a:graphic>
                    <a:graphicData uri="http://schemas.openxmlformats.org/drawingml/2006/picture">
                      <pic:pic>
                        <pic:nvPicPr>
                          <pic:cNvPr descr="https://imgs.xkcd.com/comics/coordinate_precision.png" id="75" name="Picture"/>
                          <pic:cNvPicPr>
                            <a:picLocks noChangeArrowheads="1" noChangeAspect="1"/>
                          </pic:cNvPicPr>
                        </pic:nvPicPr>
                        <pic:blipFill>
                          <a:blip r:embed="rId73"/>
                          <a:stretch>
                            <a:fillRect/>
                          </a:stretch>
                        </pic:blipFill>
                        <pic:spPr bwMode="auto">
                          <a:xfrm>
                            <a:off x="0" y="0"/>
                            <a:ext cx="2377440" cy="2368634"/>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https://imgs.xkcd.com/comics/coordinate_precision.png</w:t>
            </w:r>
          </w:p>
        </w:tc>
      </w:tr>
    </w:tbl>
    <w:bookmarkStart w:id="76" w:name="why-4"/>
    <w:p>
      <w:pPr>
        <w:pStyle w:val="Heading3"/>
      </w:pPr>
      <w:r>
        <w:t xml:space="preserve">Why?</w:t>
      </w:r>
    </w:p>
    <w:p>
      <w:pPr>
        <w:numPr>
          <w:ilvl w:val="0"/>
          <w:numId w:val="1017"/>
        </w:numPr>
        <w:pStyle w:val="Compact"/>
      </w:pPr>
      <w:r>
        <w:t xml:space="preserve">Users have to know where you collected this data, which requires a latitude, longitude, reference system and uncertainty.</w:t>
      </w:r>
    </w:p>
    <w:p>
      <w:pPr>
        <w:numPr>
          <w:ilvl w:val="0"/>
          <w:numId w:val="1017"/>
        </w:numPr>
        <w:pStyle w:val="Compact"/>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numPr>
          <w:ilvl w:val="0"/>
          <w:numId w:val="1017"/>
        </w:numPr>
        <w:pStyle w:val="Compact"/>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76"/>
    <w:bookmarkStart w:id="77" w:name="key-information-4"/>
    <w:p>
      <w:pPr>
        <w:pStyle w:val="Heading3"/>
      </w:pPr>
      <w:r>
        <w:t xml:space="preserve">Key Information</w:t>
      </w:r>
    </w:p>
    <w:p>
      <w:pPr>
        <w:numPr>
          <w:ilvl w:val="0"/>
          <w:numId w:val="1018"/>
        </w:numPr>
        <w:pStyle w:val="Compact"/>
      </w:pPr>
      <w:r>
        <w:t xml:space="preserve">If possible, encourage data providers to confirm, and record, the WGS84 datum prior to data collection.</w:t>
      </w:r>
    </w:p>
    <w:p>
      <w:pPr>
        <w:numPr>
          <w:ilvl w:val="0"/>
          <w:numId w:val="1018"/>
        </w:numPr>
        <w:pStyle w:val="Compact"/>
      </w:pPr>
      <w:r>
        <w:t xml:space="preserve">Understand and report the device/instrument uncertainty associated with your coordinates because it affects the usability of your data.</w:t>
      </w:r>
    </w:p>
    <w:p>
      <w:pPr>
        <w:numPr>
          <w:ilvl w:val="0"/>
          <w:numId w:val="1018"/>
        </w:numPr>
        <w:pStyle w:val="Compact"/>
      </w:pPr>
      <w:r>
        <w:t xml:space="preserve">Consider including the vertical component (altitude, depth, height off bottom, elevation, etc)</w:t>
      </w:r>
    </w:p>
    <w:p>
      <w:pPr>
        <w:numPr>
          <w:ilvl w:val="0"/>
          <w:numId w:val="1018"/>
        </w:numPr>
        <w:pStyle w:val="Compact"/>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numPr>
          <w:ilvl w:val="1"/>
          <w:numId w:val="1019"/>
        </w:numPr>
        <w:pStyle w:val="Compact"/>
      </w:pPr>
      <w:r>
        <w:rPr>
          <w:rStyle w:val="VerbatimChar"/>
        </w:rPr>
        <w:t xml:space="preserve">DD = d + (min/60) + (sec/3600)</w:t>
      </w:r>
    </w:p>
    <w:p>
      <w:pPr>
        <w:numPr>
          <w:ilvl w:val="1"/>
          <w:numId w:val="1019"/>
        </w:numPr>
        <w:pStyle w:val="Compact"/>
      </w:pPr>
      <w:r>
        <w:t xml:space="preserve">Watch out for mixed formats, like degrees,</w:t>
      </w:r>
      <w:r>
        <w:t xml:space="preserve"> </w:t>
      </w:r>
      <w:r>
        <w:rPr>
          <w:rStyle w:val="VerbatimChar"/>
        </w:rPr>
        <w:t xml:space="preserve">decimal-minutes (DDM)</w:t>
      </w:r>
      <w:r>
        <w:t xml:space="preserve">.</w:t>
      </w:r>
    </w:p>
    <w:p>
      <w:pPr>
        <w:numPr>
          <w:ilvl w:val="0"/>
          <w:numId w:val="1018"/>
        </w:numPr>
        <w:pStyle w:val="Compact"/>
      </w:pPr>
      <w:r>
        <w:t xml:space="preserve">Degrees West and South become negative in DD.</w:t>
      </w:r>
    </w:p>
    <w:p>
      <w:pPr>
        <w:numPr>
          <w:ilvl w:val="1"/>
          <w:numId w:val="1020"/>
        </w:numPr>
        <w:pStyle w:val="Compact"/>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numPr>
          <w:ilvl w:val="1"/>
          <w:numId w:val="1020"/>
        </w:numPr>
        <w:pStyle w:val="Compact"/>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Cs/>
          <w:i/>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77"/>
    <w:bookmarkStart w:id="86" w:name="top-references-4"/>
    <w:p>
      <w:pPr>
        <w:pStyle w:val="Heading3"/>
      </w:pPr>
      <w:r>
        <w:t xml:space="preserve">Top References</w:t>
      </w:r>
    </w:p>
    <w:p>
      <w:pPr>
        <w:numPr>
          <w:ilvl w:val="0"/>
          <w:numId w:val="1021"/>
        </w:numPr>
        <w:pStyle w:val="Compact"/>
      </w:pPr>
      <w:r>
        <w:t xml:space="preserve">Existing R/python/ESRI packages/functions</w:t>
      </w:r>
    </w:p>
    <w:p>
      <w:pPr>
        <w:numPr>
          <w:ilvl w:val="1"/>
          <w:numId w:val="1022"/>
        </w:numPr>
        <w:pStyle w:val="Compact"/>
      </w:pPr>
      <w:r>
        <w:t xml:space="preserve">R - measurements</w:t>
      </w:r>
      <w:r>
        <w:t xml:space="preserve"> </w:t>
      </w:r>
      <w:hyperlink r:id="rId78">
        <w:r>
          <w:rPr>
            <w:rStyle w:val="Hyperlink"/>
          </w:rPr>
          <w:t xml:space="preserve">https://cran.r-project.org/web/packages/measurements/measurements.pdf</w:t>
        </w:r>
      </w:hyperlink>
    </w:p>
    <w:p>
      <w:pPr>
        <w:numPr>
          <w:ilvl w:val="1"/>
          <w:numId w:val="1022"/>
        </w:numPr>
        <w:pStyle w:val="Compact"/>
      </w:pPr>
      <w:r>
        <w:t xml:space="preserve">EML</w:t>
      </w:r>
      <w:r>
        <w:t xml:space="preserve"> </w:t>
      </w:r>
      <w:hyperlink r:id="rId79">
        <w:r>
          <w:rPr>
            <w:rStyle w:val="Hyperlink"/>
          </w:rPr>
          <w:t xml:space="preserve">https://eml.ecoinformatics.org/schema/index.html</w:t>
        </w:r>
      </w:hyperlink>
      <w:r>
        <w:t xml:space="preserve"> </w:t>
      </w:r>
      <w:r>
        <w:t xml:space="preserve">(find “bounding Coordinates)</w:t>
      </w:r>
    </w:p>
    <w:p>
      <w:pPr>
        <w:numPr>
          <w:ilvl w:val="1"/>
          <w:numId w:val="1022"/>
        </w:numPr>
        <w:pStyle w:val="Compact"/>
      </w:pPr>
      <w:r>
        <w:t xml:space="preserve">CF</w:t>
      </w:r>
      <w:r>
        <w:t xml:space="preserve"> </w:t>
      </w:r>
      <w:hyperlink r:id="rId80">
        <w:r>
          <w:rPr>
            <w:rStyle w:val="Hyperlink"/>
          </w:rPr>
          <w:t xml:space="preserve">https://cfconventions.org/Data/cf-conventions/cf-conventions-1.10/cf-conventions.html#latitude-coordinate</w:t>
        </w:r>
      </w:hyperlink>
    </w:p>
    <w:p>
      <w:pPr>
        <w:numPr>
          <w:ilvl w:val="0"/>
          <w:numId w:val="1021"/>
        </w:numPr>
        <w:pStyle w:val="Compact"/>
      </w:pPr>
      <w:r>
        <w:t xml:space="preserve">Getting lat/lon to decimal degrees</w:t>
      </w:r>
      <w:r>
        <w:br/>
      </w:r>
      <w:hyperlink r:id="rId81">
        <w:r>
          <w:rPr>
            <w:rStyle w:val="Hyperlink"/>
          </w:rPr>
          <w:t xml:space="preserve">https://ioos.github.io/bio_mobilization_workshop/03-data-cleaning/index.html#getting-latlon-to-decimal-degrees</w:t>
        </w:r>
      </w:hyperlink>
    </w:p>
    <w:p>
      <w:pPr>
        <w:numPr>
          <w:ilvl w:val="0"/>
          <w:numId w:val="1021"/>
        </w:numPr>
        <w:pStyle w:val="Compact"/>
      </w:pPr>
      <w:r>
        <w:t xml:space="preserve">Some background on precision</w:t>
      </w:r>
    </w:p>
    <w:p>
      <w:pPr>
        <w:numPr>
          <w:ilvl w:val="1"/>
          <w:numId w:val="1023"/>
        </w:numPr>
        <w:pStyle w:val="Compact"/>
      </w:pPr>
      <w:hyperlink r:id="rId82">
        <w:r>
          <w:rPr>
            <w:rStyle w:val="Hyperlink"/>
          </w:rPr>
          <w:t xml:space="preserve">https://www.trekview.org/blog/2021/reading-decimal-gps-coordinates-like-a-computer/#a-note-on-accuracy</w:t>
        </w:r>
      </w:hyperlink>
    </w:p>
    <w:p>
      <w:pPr>
        <w:numPr>
          <w:ilvl w:val="1"/>
          <w:numId w:val="1023"/>
        </w:numPr>
        <w:pStyle w:val="Compact"/>
      </w:pPr>
      <w:hyperlink r:id="rId83">
        <w:r>
          <w:rPr>
            <w:rStyle w:val="Hyperlink"/>
          </w:rPr>
          <w:t xml:space="preserve">https://gis.stackexchange.com/questions/8650/measuring-accuracy-of-latitude-and-longitude</w:t>
        </w:r>
      </w:hyperlink>
    </w:p>
    <w:p>
      <w:pPr>
        <w:numPr>
          <w:ilvl w:val="0"/>
          <w:numId w:val="1021"/>
        </w:numPr>
        <w:pStyle w:val="Compact"/>
      </w:pPr>
      <w:r>
        <w:t xml:space="preserve">DMS to DD calculator</w:t>
      </w:r>
      <w:r>
        <w:br/>
      </w:r>
      <w:hyperlink r:id="rId84">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85">
        <w:r>
          <w:rPr>
            <w:rStyle w:val="Hyperlink"/>
          </w:rPr>
          <w:t xml:space="preserve">https://wiki.gis.com/wiki/index.php/Datum\_(geodesy)#List_of_Datums</w:t>
        </w:r>
      </w:hyperlink>
    </w:p>
    <w:bookmarkEnd w:id="86"/>
    <w:bookmarkEnd w:id="87"/>
    <w:bookmarkStart w:id="98" w:name="use-persistent-unique-identifiers"/>
    <w:p>
      <w:pPr>
        <w:pStyle w:val="Heading2"/>
      </w:pPr>
      <w:r>
        <w:t xml:space="preserve">Use persistent unique identifiers</w:t>
      </w:r>
    </w:p>
    <w:bookmarkStart w:id="88" w:name="why-5"/>
    <w:p>
      <w:pPr>
        <w:pStyle w:val="Heading3"/>
      </w:pPr>
      <w:r>
        <w:t xml:space="preserve">Why?</w:t>
      </w:r>
    </w:p>
    <w:p>
      <w:pPr>
        <w:numPr>
          <w:ilvl w:val="0"/>
          <w:numId w:val="1024"/>
        </w:numPr>
        <w:pStyle w:val="Compact"/>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numPr>
          <w:ilvl w:val="0"/>
          <w:numId w:val="1024"/>
        </w:numPr>
        <w:pStyle w:val="Compact"/>
      </w:pPr>
      <w:r>
        <w:t xml:space="preserve">To be able to uniquely identify a record in your data system or across data systems. Useful to create relational databases or merge records.</w:t>
      </w:r>
    </w:p>
    <w:p>
      <w:pPr>
        <w:numPr>
          <w:ilvl w:val="0"/>
          <w:numId w:val="1024"/>
        </w:numPr>
        <w:pStyle w:val="Compact"/>
      </w:pPr>
      <w:r>
        <w:t xml:space="preserve">Although it increases workload, it safeguards against confusion and inefficiency in the future.</w:t>
      </w:r>
    </w:p>
    <w:bookmarkEnd w:id="88"/>
    <w:bookmarkStart w:id="89" w:name="key-information-5"/>
    <w:p>
      <w:pPr>
        <w:pStyle w:val="Heading3"/>
      </w:pPr>
      <w:r>
        <w:t xml:space="preserve">Key Information</w:t>
      </w:r>
    </w:p>
    <w:p>
      <w:pPr>
        <w:numPr>
          <w:ilvl w:val="0"/>
          <w:numId w:val="1025"/>
        </w:numPr>
        <w:pStyle w:val="Compact"/>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numPr>
          <w:ilvl w:val="0"/>
          <w:numId w:val="1025"/>
        </w:numPr>
        <w:pStyle w:val="Compact"/>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numPr>
          <w:ilvl w:val="0"/>
          <w:numId w:val="1025"/>
        </w:numPr>
        <w:pStyle w:val="Compact"/>
      </w:pPr>
      <w:r>
        <w:t xml:space="preserve">Some prefer using opaque identifiers. (e.g. </w:t>
      </w:r>
      <w:r>
        <w:rPr>
          <w:rStyle w:val="VerbatimChar"/>
        </w:rPr>
        <w:t xml:space="preserve">10FC9784-B30F-48ED-8DB5-FF65A2A9934E</w:t>
      </w:r>
      <w:r>
        <w:t xml:space="preserve">)</w:t>
      </w:r>
    </w:p>
    <w:p>
      <w:pPr>
        <w:numPr>
          <w:ilvl w:val="0"/>
          <w:numId w:val="1025"/>
        </w:numPr>
        <w:pStyle w:val="Compact"/>
      </w:pPr>
      <w:r>
        <w:t xml:space="preserve">If there is an existing persistent unique identifier, it’s usually a good idea to use it (i.e. when using a taxonomic authority like WoRMS and applying their LSID).</w:t>
      </w:r>
    </w:p>
    <w:p>
      <w:pPr>
        <w:numPr>
          <w:ilvl w:val="0"/>
          <w:numId w:val="1025"/>
        </w:numPr>
        <w:pStyle w:val="Compact"/>
      </w:pPr>
      <w:r>
        <w:t xml:space="preserve">It is important to manage any identifiers you create, if they are not managed by an authority (e.g. DOIs).</w:t>
      </w:r>
    </w:p>
    <w:p>
      <w:pPr>
        <w:numPr>
          <w:ilvl w:val="0"/>
          <w:numId w:val="1025"/>
        </w:numPr>
        <w:pStyle w:val="Compact"/>
      </w:pPr>
      <w:r>
        <w:t xml:space="preserve">Important that it be persistent (consider samples possibly moving between institutions)</w:t>
      </w:r>
    </w:p>
    <w:p>
      <w:pPr>
        <w:pStyle w:val="FirstParagraph"/>
      </w:pPr>
      <w:r>
        <w:rPr>
          <w:iCs/>
          <w:i/>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89"/>
    <w:bookmarkStart w:id="97" w:name="top-references-5"/>
    <w:p>
      <w:pPr>
        <w:pStyle w:val="Heading3"/>
      </w:pPr>
      <w:r>
        <w:t xml:space="preserve">Top References</w:t>
      </w:r>
    </w:p>
    <w:p>
      <w:pPr>
        <w:numPr>
          <w:ilvl w:val="0"/>
          <w:numId w:val="1026"/>
        </w:numPr>
        <w:pStyle w:val="Compact"/>
      </w:pPr>
      <w:r>
        <w:t xml:space="preserve">Software and Packages to generate uuids:</w:t>
      </w:r>
    </w:p>
    <w:p>
      <w:pPr>
        <w:numPr>
          <w:ilvl w:val="1"/>
          <w:numId w:val="1027"/>
        </w:numPr>
        <w:pStyle w:val="Compact"/>
      </w:pPr>
      <w:r>
        <w:t xml:space="preserve">R - uuid</w:t>
      </w:r>
      <w:r>
        <w:t xml:space="preserve"> </w:t>
      </w:r>
      <w:hyperlink r:id="rId90">
        <w:r>
          <w:rPr>
            <w:rStyle w:val="Hyperlink"/>
          </w:rPr>
          <w:t xml:space="preserve">https://cran.r-project.org/web/packages/uuid/index.html</w:t>
        </w:r>
      </w:hyperlink>
    </w:p>
    <w:p>
      <w:pPr>
        <w:numPr>
          <w:ilvl w:val="1"/>
          <w:numId w:val="1027"/>
        </w:numPr>
        <w:pStyle w:val="Compact"/>
      </w:pPr>
      <w:r>
        <w:t xml:space="preserve">python - uuid</w:t>
      </w:r>
      <w:r>
        <w:t xml:space="preserve"> </w:t>
      </w:r>
      <w:hyperlink r:id="rId91">
        <w:r>
          <w:rPr>
            <w:rStyle w:val="Hyperlink"/>
          </w:rPr>
          <w:t xml:space="preserve">https://docs.python.org/3/library/uuid.html</w:t>
        </w:r>
      </w:hyperlink>
    </w:p>
    <w:p>
      <w:pPr>
        <w:numPr>
          <w:ilvl w:val="1"/>
          <w:numId w:val="1027"/>
        </w:numPr>
        <w:pStyle w:val="Compact"/>
      </w:pPr>
      <w:hyperlink r:id="rId92">
        <w:r>
          <w:rPr>
            <w:rStyle w:val="Hyperlink"/>
          </w:rPr>
          <w:t xml:space="preserve">http://guid.one/</w:t>
        </w:r>
      </w:hyperlink>
    </w:p>
    <w:p>
      <w:pPr>
        <w:numPr>
          <w:ilvl w:val="1"/>
          <w:numId w:val="1027"/>
        </w:numPr>
        <w:pStyle w:val="Compact"/>
      </w:pPr>
      <w:hyperlink r:id="rId93">
        <w:r>
          <w:rPr>
            <w:rStyle w:val="Hyperlink"/>
          </w:rPr>
          <w:t xml:space="preserve">https://guidgenerator.com/</w:t>
        </w:r>
      </w:hyperlink>
    </w:p>
    <w:p>
      <w:pPr>
        <w:numPr>
          <w:ilvl w:val="0"/>
          <w:numId w:val="1026"/>
        </w:numPr>
        <w:pStyle w:val="Compact"/>
      </w:pPr>
      <w:r>
        <w:t xml:space="preserve">Guidance on how to use GUIDs (Globally Unique Identifiers) to meet specific requirements of the biodiversity information community</w:t>
      </w:r>
      <w:r>
        <w:br/>
      </w:r>
      <w:hyperlink r:id="rId94">
        <w:r>
          <w:rPr>
            <w:rStyle w:val="Hyperlink"/>
          </w:rPr>
          <w:t xml:space="preserve">http://bioimages.vanderbilt.edu/pages/guid-applicability-final-2011-01.pdf</w:t>
        </w:r>
      </w:hyperlink>
    </w:p>
    <w:p>
      <w:pPr>
        <w:numPr>
          <w:ilvl w:val="0"/>
          <w:numId w:val="1026"/>
        </w:numPr>
        <w:pStyle w:val="Compact"/>
      </w:pPr>
      <w:r>
        <w:t xml:space="preserve">Use of globally unique identifiers (GUIDs) to link herbarium specimen records to physical specimens</w:t>
      </w:r>
      <w:r>
        <w:br/>
      </w:r>
      <w:hyperlink r:id="rId95">
        <w:r>
          <w:rPr>
            <w:rStyle w:val="Hyperlink"/>
          </w:rPr>
          <w:t xml:space="preserve">https://bsapubs.onlinelibrary.wiley.com/doi/full/10.1002/aps3.1027</w:t>
        </w:r>
      </w:hyperlink>
    </w:p>
    <w:p>
      <w:pPr>
        <w:numPr>
          <w:ilvl w:val="0"/>
          <w:numId w:val="1026"/>
        </w:numPr>
        <w:pStyle w:val="Compact"/>
      </w:pPr>
      <w:r>
        <w:t xml:space="preserve">A Beginner’s Guide to Persistent Identifiers</w:t>
      </w:r>
      <w:r>
        <w:br/>
      </w:r>
      <w:hyperlink r:id="rId96">
        <w:r>
          <w:rPr>
            <w:rStyle w:val="Hyperlink"/>
          </w:rPr>
          <w:t xml:space="preserve">http://links.gbif.org/persistent_identifiers_guide_en_v1.pdf</w:t>
        </w:r>
      </w:hyperlink>
    </w:p>
    <w:bookmarkEnd w:id="97"/>
    <w:bookmarkEnd w:id="98"/>
    <w:bookmarkEnd w:id="99"/>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44" Target="media/rId44.png" /><Relationship Type="http://schemas.openxmlformats.org/officeDocument/2006/relationships/hyperlink" Id="rId94" Target="http://bioimages.vanderbilt.edu/pages/guid-applicability-final-2011-01.pdf" TargetMode="External" /><Relationship Type="http://schemas.openxmlformats.org/officeDocument/2006/relationships/hyperlink" Id="rId65" Target="http://cran.nexr.com/web/packages/worrms/vignettes/worrms_vignette.html" TargetMode="External" /><Relationship Type="http://schemas.openxmlformats.org/officeDocument/2006/relationships/hyperlink" Id="rId92" Target="http://guid.one/" TargetMode="External" /><Relationship Type="http://schemas.openxmlformats.org/officeDocument/2006/relationships/hyperlink" Id="rId96" Target="http://links.gbif.org/persistent_identifiers_guide_en_v1.pdf" TargetMode="External" /><Relationship Type="http://schemas.openxmlformats.org/officeDocument/2006/relationships/hyperlink" Id="rId64" Target="http://www.marinespecies.org/" TargetMode="External" /><Relationship Type="http://schemas.openxmlformats.org/officeDocument/2006/relationships/hyperlink" Id="rId95" Target="https://bsapubs.onlinelibrary.wiley.com/doi/full/10.1002/aps3.1027" TargetMode="External" /><Relationship Type="http://schemas.openxmlformats.org/officeDocument/2006/relationships/hyperlink" Id="rId80" Target="https://cfconventions.org/Data/cf-conventions/cf-conventions-1.10/cf-conventions.html#latitude-coordinate" TargetMode="External" /><Relationship Type="http://schemas.openxmlformats.org/officeDocument/2006/relationships/hyperlink" Id="rId53" Target="https://coastwatch.pfeg.noaa.gov/erddap/convert/time.html" TargetMode="External" /><Relationship Type="http://schemas.openxmlformats.org/officeDocument/2006/relationships/hyperlink" Id="rId78" Target="https://cran.r-project.org/web/packages/measurements/measurements.pdf" TargetMode="External" /><Relationship Type="http://schemas.openxmlformats.org/officeDocument/2006/relationships/hyperlink" Id="rId63" Target="https://cran.r-project.org/web/packages/taxize/index.html" TargetMode="External" /><Relationship Type="http://schemas.openxmlformats.org/officeDocument/2006/relationships/hyperlink" Id="rId90" Target="https://cran.r-project.org/web/packages/uuid/index.html" TargetMode="External" /><Relationship Type="http://schemas.openxmlformats.org/officeDocument/2006/relationships/hyperlink" Id="rId66" Target="https://cran.r-project.org/web/packages/worms/index.html" TargetMode="External" /><Relationship Type="http://schemas.openxmlformats.org/officeDocument/2006/relationships/hyperlink" Id="rId40" Target="https://datacarpentry.org/spreadsheet-ecology-lesson/" TargetMode="External" /><Relationship Type="http://schemas.openxmlformats.org/officeDocument/2006/relationships/hyperlink" Id="rId50" Target="https://docs.python.org/3/library/datetime.html" TargetMode="External" /><Relationship Type="http://schemas.openxmlformats.org/officeDocument/2006/relationships/hyperlink" Id="rId91" Target="https://docs.python.org/3/library/uuid.html" TargetMode="External" /><Relationship Type="http://schemas.openxmlformats.org/officeDocument/2006/relationships/hyperlink" Id="rId37" Target="https://doi.org/10.18637/jss.v059.i10" TargetMode="External" /><Relationship Type="http://schemas.openxmlformats.org/officeDocument/2006/relationships/hyperlink" Id="rId69"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41" Target="https://edirepository.org/resources/cleaning-data-and-quality-control#data-table-structure" TargetMode="External" /><Relationship Type="http://schemas.openxmlformats.org/officeDocument/2006/relationships/hyperlink" Id="rId79" Target="https://eml.ecoinformatics.org/schema/index.html" TargetMode="External" /><Relationship Type="http://schemas.openxmlformats.org/officeDocument/2006/relationships/hyperlink" Id="rId48" Target="https://en.wikipedia.org/wiki/ISO_8601" TargetMode="External" /><Relationship Type="http://schemas.openxmlformats.org/officeDocument/2006/relationships/hyperlink" Id="rId29"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83" Target="https://gis.stackexchange.com/questions/8650/measuring-accuracy-of-latitude-and-longitude"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iobis/pyworms" TargetMode="External" /><Relationship Type="http://schemas.openxmlformats.org/officeDocument/2006/relationships/hyperlink" Id="rId31" Target="https://guides.osu.edu/c.php?g=707751&amp;p=5027409\" TargetMode="External" /><Relationship Type="http://schemas.openxmlformats.org/officeDocument/2006/relationships/hyperlink" Id="rId93" Target="https://guidgenerator.com/" TargetMode="External" /><Relationship Type="http://schemas.openxmlformats.org/officeDocument/2006/relationships/hyperlink" Id="rId81" Target="https://ioos.github.io/bio_mobilization_workshop/03-data-cleaning/index.html#getting-latlon-to-decimal-degrees" TargetMode="External" /><Relationship Type="http://schemas.openxmlformats.org/officeDocument/2006/relationships/hyperlink" Id="rId59" Target="https://itis.gov/" TargetMode="External" /><Relationship Type="http://schemas.openxmlformats.org/officeDocument/2006/relationships/hyperlink" Id="rId68" Target="https://resolver.globalnames.org/" TargetMode="External" /><Relationship Type="http://schemas.openxmlformats.org/officeDocument/2006/relationships/hyperlink" Id="rId61"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85" Target="https://wiki.gis.com/wiki/index.php/Datum\_(geodesy)#List_of_Datums" TargetMode="External" /><Relationship Type="http://schemas.openxmlformats.org/officeDocument/2006/relationships/hyperlink" Id="rId32" Target="https://www.archives.gov/records-mgmt/policy/transfer-guidance-tables.html\" TargetMode="External" /><Relationship Type="http://schemas.openxmlformats.org/officeDocument/2006/relationships/hyperlink" Id="rId51" Target="https://www.datafix.com.au/BASHing/2020-02-12.html" TargetMode="External" /><Relationship Type="http://schemas.openxmlformats.org/officeDocument/2006/relationships/hyperlink" Id="rId39" Target="https://www.datafix.com.au/BASHing/2022-01-12.html" TargetMode="External" /><Relationship Type="http://schemas.openxmlformats.org/officeDocument/2006/relationships/hyperlink" Id="rId84" Target="https://www.fcc.gov/media/radio/dms-decimal" TargetMode="External" /><Relationship Type="http://schemas.openxmlformats.org/officeDocument/2006/relationships/hyperlink" Id="rId58" Target="https://www.marinespecies.org" TargetMode="External" /><Relationship Type="http://schemas.openxmlformats.org/officeDocument/2006/relationships/hyperlink" Id="rId57" Target="https://www.marinespecies.org/aphia.php?p=taxdetails&amp;id=137088" TargetMode="External" /><Relationship Type="http://schemas.openxmlformats.org/officeDocument/2006/relationships/hyperlink" Id="rId60" Target="https://www.ncbi.nlm.nih.gov/taxonomy" TargetMode="External" /><Relationship Type="http://schemas.openxmlformats.org/officeDocument/2006/relationships/hyperlink" Id="rId52" Target="https://www.timeanddate.com/time/map/" TargetMode="External" /><Relationship Type="http://schemas.openxmlformats.org/officeDocument/2006/relationships/hyperlink" Id="rId82" Target="https://www.trekview.org/blog/2021/reading-decimal-gps-coordinates-like-a-computer/#a-note-on-accuracy" TargetMode="External" /><Relationship Type="http://schemas.openxmlformats.org/officeDocument/2006/relationships/hyperlink" Id="rId38" Target="https://www.youtube.com/watch?v=N2zK3s=Atr-4&amp;t=7s" TargetMode="External" /><Relationship Type="http://schemas.openxmlformats.org/officeDocument/2006/relationships/hyperlink" Id="rId70"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94" Target="http://bioimages.vanderbilt.edu/pages/guid-applicability-final-2011-01.pdf" TargetMode="External" /><Relationship Type="http://schemas.openxmlformats.org/officeDocument/2006/relationships/hyperlink" Id="rId65" Target="http://cran.nexr.com/web/packages/worrms/vignettes/worrms_vignette.html" TargetMode="External" /><Relationship Type="http://schemas.openxmlformats.org/officeDocument/2006/relationships/hyperlink" Id="rId92" Target="http://guid.one/" TargetMode="External" /><Relationship Type="http://schemas.openxmlformats.org/officeDocument/2006/relationships/hyperlink" Id="rId96" Target="http://links.gbif.org/persistent_identifiers_guide_en_v1.pdf" TargetMode="External" /><Relationship Type="http://schemas.openxmlformats.org/officeDocument/2006/relationships/hyperlink" Id="rId64" Target="http://www.marinespecies.org/" TargetMode="External" /><Relationship Type="http://schemas.openxmlformats.org/officeDocument/2006/relationships/hyperlink" Id="rId95" Target="https://bsapubs.onlinelibrary.wiley.com/doi/full/10.1002/aps3.1027" TargetMode="External" /><Relationship Type="http://schemas.openxmlformats.org/officeDocument/2006/relationships/hyperlink" Id="rId80" Target="https://cfconventions.org/Data/cf-conventions/cf-conventions-1.10/cf-conventions.html#latitude-coordinate" TargetMode="External" /><Relationship Type="http://schemas.openxmlformats.org/officeDocument/2006/relationships/hyperlink" Id="rId53" Target="https://coastwatch.pfeg.noaa.gov/erddap/convert/time.html" TargetMode="External" /><Relationship Type="http://schemas.openxmlformats.org/officeDocument/2006/relationships/hyperlink" Id="rId78" Target="https://cran.r-project.org/web/packages/measurements/measurements.pdf" TargetMode="External" /><Relationship Type="http://schemas.openxmlformats.org/officeDocument/2006/relationships/hyperlink" Id="rId63" Target="https://cran.r-project.org/web/packages/taxize/index.html" TargetMode="External" /><Relationship Type="http://schemas.openxmlformats.org/officeDocument/2006/relationships/hyperlink" Id="rId90" Target="https://cran.r-project.org/web/packages/uuid/index.html" TargetMode="External" /><Relationship Type="http://schemas.openxmlformats.org/officeDocument/2006/relationships/hyperlink" Id="rId66" Target="https://cran.r-project.org/web/packages/worms/index.html" TargetMode="External" /><Relationship Type="http://schemas.openxmlformats.org/officeDocument/2006/relationships/hyperlink" Id="rId40" Target="https://datacarpentry.org/spreadsheet-ecology-lesson/" TargetMode="External" /><Relationship Type="http://schemas.openxmlformats.org/officeDocument/2006/relationships/hyperlink" Id="rId50" Target="https://docs.python.org/3/library/datetime.html" TargetMode="External" /><Relationship Type="http://schemas.openxmlformats.org/officeDocument/2006/relationships/hyperlink" Id="rId91" Target="https://docs.python.org/3/library/uuid.html" TargetMode="External" /><Relationship Type="http://schemas.openxmlformats.org/officeDocument/2006/relationships/hyperlink" Id="rId37" Target="https://doi.org/10.18637/jss.v059.i10" TargetMode="External" /><Relationship Type="http://schemas.openxmlformats.org/officeDocument/2006/relationships/hyperlink" Id="rId69"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41" Target="https://edirepository.org/resources/cleaning-data-and-quality-control#data-table-structure" TargetMode="External" /><Relationship Type="http://schemas.openxmlformats.org/officeDocument/2006/relationships/hyperlink" Id="rId79" Target="https://eml.ecoinformatics.org/schema/index.html" TargetMode="External" /><Relationship Type="http://schemas.openxmlformats.org/officeDocument/2006/relationships/hyperlink" Id="rId48" Target="https://en.wikipedia.org/wiki/ISO_8601" TargetMode="External" /><Relationship Type="http://schemas.openxmlformats.org/officeDocument/2006/relationships/hyperlink" Id="rId29"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83" Target="https://gis.stackexchange.com/questions/8650/measuring-accuracy-of-latitude-and-longitude"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iobis/pyworms" TargetMode="External" /><Relationship Type="http://schemas.openxmlformats.org/officeDocument/2006/relationships/hyperlink" Id="rId31" Target="https://guides.osu.edu/c.php?g=707751&amp;p=5027409\" TargetMode="External" /><Relationship Type="http://schemas.openxmlformats.org/officeDocument/2006/relationships/hyperlink" Id="rId93" Target="https://guidgenerator.com/" TargetMode="External" /><Relationship Type="http://schemas.openxmlformats.org/officeDocument/2006/relationships/hyperlink" Id="rId81" Target="https://ioos.github.io/bio_mobilization_workshop/03-data-cleaning/index.html#getting-latlon-to-decimal-degrees" TargetMode="External" /><Relationship Type="http://schemas.openxmlformats.org/officeDocument/2006/relationships/hyperlink" Id="rId59" Target="https://itis.gov/" TargetMode="External" /><Relationship Type="http://schemas.openxmlformats.org/officeDocument/2006/relationships/hyperlink" Id="rId68" Target="https://resolver.globalnames.org/" TargetMode="External" /><Relationship Type="http://schemas.openxmlformats.org/officeDocument/2006/relationships/hyperlink" Id="rId61"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85" Target="https://wiki.gis.com/wiki/index.php/Datum\_(geodesy)#List_of_Datums" TargetMode="External" /><Relationship Type="http://schemas.openxmlformats.org/officeDocument/2006/relationships/hyperlink" Id="rId32" Target="https://www.archives.gov/records-mgmt/policy/transfer-guidance-tables.html\" TargetMode="External" /><Relationship Type="http://schemas.openxmlformats.org/officeDocument/2006/relationships/hyperlink" Id="rId51" Target="https://www.datafix.com.au/BASHing/2020-02-12.html" TargetMode="External" /><Relationship Type="http://schemas.openxmlformats.org/officeDocument/2006/relationships/hyperlink" Id="rId39" Target="https://www.datafix.com.au/BASHing/2022-01-12.html" TargetMode="External" /><Relationship Type="http://schemas.openxmlformats.org/officeDocument/2006/relationships/hyperlink" Id="rId84" Target="https://www.fcc.gov/media/radio/dms-decimal" TargetMode="External" /><Relationship Type="http://schemas.openxmlformats.org/officeDocument/2006/relationships/hyperlink" Id="rId58" Target="https://www.marinespecies.org" TargetMode="External" /><Relationship Type="http://schemas.openxmlformats.org/officeDocument/2006/relationships/hyperlink" Id="rId57" Target="https://www.marinespecies.org/aphia.php?p=taxdetails&amp;id=137088" TargetMode="External" /><Relationship Type="http://schemas.openxmlformats.org/officeDocument/2006/relationships/hyperlink" Id="rId60" Target="https://www.ncbi.nlm.nih.gov/taxonomy" TargetMode="External" /><Relationship Type="http://schemas.openxmlformats.org/officeDocument/2006/relationships/hyperlink" Id="rId52" Target="https://www.timeanddate.com/time/map/" TargetMode="External" /><Relationship Type="http://schemas.openxmlformats.org/officeDocument/2006/relationships/hyperlink" Id="rId82" Target="https://www.trekview.org/blog/2021/reading-decimal-gps-coordinates-like-a-computer/#a-note-on-accuracy" TargetMode="External" /><Relationship Type="http://schemas.openxmlformats.org/officeDocument/2006/relationships/hyperlink" Id="rId38" Target="https://www.youtube.com/watch?v=N2zK3s=Atr-4&amp;t=7s" TargetMode="External" /><Relationship Type="http://schemas.openxmlformats.org/officeDocument/2006/relationships/hyperlink" Id="rId70"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2023-11-13T18:24:14Z</dcterms:created>
  <dcterms:modified xsi:type="dcterms:W3CDTF">2023-11-13T18:24:14Z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2023-11-13</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output-dir">
    <vt:lpwstr>docs</vt:lpwstr>
  </property>
  <property fmtid="{D5CDD505-2E9C-101B-9397-08002B2CF9AE}" pid="14" name="toc-title">
    <vt:lpwstr>Table of contents</vt:lpwstr>
  </property>
</Properties>
</file>