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Лекция 13. Документация, безопасность и ответственное применение ML</w:t>
      </w:r>
    </w:p>
    <w:p>
      <w:pPr>
        <w:spacing w:after="90"/>
        <w:jc w:val="both"/>
      </w:pPr>
      <w:r>
        <w:t xml:space="preserve">Версия: 2026–2027 учебный год</w:t>
      </w:r>
    </w:p>
    <w:p>
      <w:pPr>
        <w:spacing w:after="90"/>
        <w:jc w:val="both"/>
      </w:pPr>
      <w:r>
        <w:t xml:space="preserve">Продолжительность: 2 академических часа</w:t>
      </w:r>
    </w:p>
    <w:p>
      <w:pPr>
        <w:spacing w:after="90"/>
        <w:jc w:val="both"/>
      </w:pPr>
      <w:r>
        <w:t xml:space="preserve">Связанные работы: ЛР13 «Point-in-time признаки», ЛР14 «Документация, безопасность и Responsible ML»</w:t>
      </w:r>
    </w:p>
    <w:p>
      <w:pPr>
        <w:pStyle w:val="Heading1"/>
        <w:keepNext/>
      </w:pPr>
      <w:r>
        <w:t xml:space="preserve">1. Цель лекции</w:t>
      </w:r>
    </w:p>
    <w:p>
      <w:pPr>
        <w:spacing w:after="90"/>
        <w:jc w:val="both"/>
      </w:pPr>
      <w:r>
        <w:t xml:space="preserve">Показать, как превратить утверждения о модели в проверяемые release evidence: model card, data card,</w:t>
      </w:r>
    </w:p>
    <w:p>
      <w:pPr>
        <w:spacing w:after="90"/>
        <w:jc w:val="both"/>
      </w:pPr>
      <w:r>
        <w:t xml:space="preserve">групповые метрики, threat model, проверку лицензий и ответственное решение о выпуске. Студент должен</w:t>
      </w:r>
    </w:p>
    <w:p>
      <w:pPr>
        <w:spacing w:after="90"/>
        <w:jc w:val="both"/>
      </w:pPr>
      <w:r>
        <w:t xml:space="preserve">различать наличие документа и подтверждённый контроль.</w:t>
      </w:r>
    </w:p>
    <w:p>
      <w:pPr>
        <w:pStyle w:val="Heading1"/>
        <w:keepNext/>
      </w:pPr>
      <w:r>
        <w:t xml:space="preserve">2. Результаты обучения</w:t>
      </w:r>
    </w:p>
    <w:p>
      <w:pPr>
        <w:spacing w:after="90"/>
        <w:jc w:val="both"/>
      </w:pPr>
      <w:r>
        <w:t xml:space="preserve">Студент сможет:</w:t>
      </w:r>
    </w:p>
    <w:p>
      <w:pPr>
        <w:pStyle w:val="ListParagraph"/>
        <w:numPr>
          <w:ilvl w:val="0"/>
          <w:numId w:val="1"/>
        </w:numPr>
        <w:spacing w:after="45"/>
      </w:pPr>
      <w:r>
        <w:t xml:space="preserve">описать назначение, пользователей и недопустимые сценарии модели;</w:t>
      </w:r>
    </w:p>
    <w:p>
      <w:pPr>
        <w:pStyle w:val="ListParagraph"/>
        <w:numPr>
          <w:ilvl w:val="0"/>
          <w:numId w:val="1"/>
        </w:numPr>
        <w:spacing w:after="45"/>
      </w:pPr>
      <w:r>
        <w:t xml:space="preserve">связать model card с конкретной версией данных, кода, модели и threshold;</w:t>
      </w:r>
    </w:p>
    <w:p>
      <w:pPr>
        <w:pStyle w:val="ListParagraph"/>
        <w:numPr>
          <w:ilvl w:val="0"/>
          <w:numId w:val="1"/>
        </w:numPr>
        <w:spacing w:after="45"/>
      </w:pPr>
      <w:r>
        <w:t xml:space="preserve">оценить качество по группам и учесть малый размер выборки;</w:t>
      </w:r>
    </w:p>
    <w:p>
      <w:pPr>
        <w:pStyle w:val="ListParagraph"/>
        <w:numPr>
          <w:ilvl w:val="0"/>
          <w:numId w:val="1"/>
        </w:numPr>
        <w:spacing w:after="45"/>
      </w:pPr>
      <w:r>
        <w:t xml:space="preserve">объяснить, почему одна метрика или один gap не доказывает fairness;</w:t>
      </w:r>
    </w:p>
    <w:p>
      <w:pPr>
        <w:pStyle w:val="ListParagraph"/>
        <w:numPr>
          <w:ilvl w:val="0"/>
          <w:numId w:val="1"/>
        </w:numPr>
        <w:spacing w:after="45"/>
      </w:pPr>
      <w:r>
        <w:t xml:space="preserve">построить простой threat model и определить границы доверия;</w:t>
      </w:r>
    </w:p>
    <w:p>
      <w:pPr>
        <w:pStyle w:val="ListParagraph"/>
        <w:numPr>
          <w:ilvl w:val="0"/>
          <w:numId w:val="1"/>
        </w:numPr>
        <w:spacing w:after="45"/>
      </w:pPr>
      <w:r>
        <w:t xml:space="preserve">организовать работу с секретами, логами, зависимостями и лицензиями;</w:t>
      </w:r>
    </w:p>
    <w:p>
      <w:pPr>
        <w:pStyle w:val="ListParagraph"/>
        <w:numPr>
          <w:ilvl w:val="0"/>
          <w:numId w:val="1"/>
        </w:numPr>
        <w:spacing w:after="45"/>
      </w:pPr>
      <w:r>
        <w:t xml:space="preserve">применить Govern–Map–Measure–Manage к учебному release;</w:t>
      </w:r>
    </w:p>
    <w:p>
      <w:pPr>
        <w:pStyle w:val="ListParagraph"/>
        <w:numPr>
          <w:ilvl w:val="0"/>
          <w:numId w:val="1"/>
        </w:numPr>
        <w:spacing w:after="45"/>
      </w:pPr>
      <w:r>
        <w:t xml:space="preserve">принять решение release, review, stop или rollback с указанием владельца.</w:t>
      </w:r>
    </w:p>
    <w:p>
      <w:pPr>
        <w:pStyle w:val="Heading1"/>
        <w:keepNext/>
      </w:pPr>
      <w:r>
        <w:t xml:space="preserve">3. Место в сквозном проекте</w:t>
      </w:r>
    </w:p>
    <w:p>
      <w:pPr>
        <w:spacing w:after="90"/>
        <w:jc w:val="both"/>
      </w:pPr>
      <w:r>
        <w:t xml:space="preserve">К этому моменту команда умеет воспроизводить данные и модель, выпускать сервис, наблюдать его и</w:t>
      </w:r>
    </w:p>
    <w:p>
      <w:pPr>
        <w:spacing w:after="90"/>
        <w:jc w:val="both"/>
      </w:pPr>
      <w:r>
        <w:t xml:space="preserve">контролировать временную корректность признаков. ЛР14 отвечает на следующий вопрос: достаточно ли</w:t>
      </w:r>
    </w:p>
    <w:p>
      <w:pPr>
        <w:spacing w:after="90"/>
        <w:jc w:val="both"/>
      </w:pPr>
      <w:r>
        <w:t xml:space="preserve">у нас контекста, доказательств и контроля риска, чтобы разрешить очередной выпуск?</w:t>
      </w:r>
    </w:p>
    <w:p>
      <w:pPr>
        <w:pStyle w:val="Heading1"/>
        <w:keepNext/>
      </w:pPr>
      <w:r>
        <w:t xml:space="preserve">4. Документация как часть системы</w:t>
      </w:r>
    </w:p>
    <w:p>
      <w:pPr>
        <w:spacing w:after="90"/>
        <w:jc w:val="both"/>
      </w:pPr>
      <w:r>
        <w:t xml:space="preserve">Документ полезен, если он version-controlled, проходит review, ссылается на фактические артефакты и</w:t>
      </w:r>
    </w:p>
    <w:p>
      <w:pPr>
        <w:spacing w:after="90"/>
        <w:jc w:val="both"/>
      </w:pPr>
      <w:r>
        <w:t xml:space="preserve">может остановить pipeline. Карточка с общими фразами, не связанная с model version и test period,</w:t>
      </w:r>
    </w:p>
    <w:p>
      <w:pPr>
        <w:spacing w:after="90"/>
        <w:jc w:val="both"/>
      </w:pPr>
      <w:r>
        <w:t xml:space="preserve">создаёт ложное чувство контроля. Поэтому обязательные разделы проверяются в CI, а содержательное</w:t>
      </w:r>
    </w:p>
    <w:p>
      <w:pPr>
        <w:spacing w:after="90"/>
        <w:jc w:val="both"/>
      </w:pPr>
      <w:r>
        <w:t xml:space="preserve">решение остаётся за человеком.</w:t>
      </w:r>
    </w:p>
    <w:p>
      <w:pPr>
        <w:pStyle w:val="Heading1"/>
        <w:keepNext/>
      </w:pPr>
      <w:r>
        <w:t xml:space="preserve">5. Четыре уровня доказательства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Утверждение: «модель пригодна для учебного сценария».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Измерение: метрика с определённым набором, периодом и threshold.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Артефакт: JSON, карточка, commit SHA, model version и логи CI.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Решение: кто и на основании какой policy разрешил или остановил выпуск.</w:t>
      </w:r>
    </w:p>
    <w:p>
      <w:pPr>
        <w:spacing w:after="90"/>
        <w:jc w:val="both"/>
      </w:pPr>
      <w:r>
        <w:t xml:space="preserve">Отсутствие любого уровня делает цепочку аудита неполной.</w:t>
      </w:r>
    </w:p>
    <w:p>
      <w:pPr>
        <w:pStyle w:val="Heading1"/>
        <w:keepNext/>
      </w:pPr>
      <w:r>
        <w:t xml:space="preserve">6. Model card</w:t>
      </w:r>
    </w:p>
    <w:p>
      <w:pPr>
        <w:spacing w:after="90"/>
        <w:jc w:val="both"/>
      </w:pPr>
      <w:r>
        <w:t xml:space="preserve">Model card объясняет, что представляет собой модель, для чего она предназначена, как оценивалась и</w:t>
      </w:r>
    </w:p>
    <w:p>
      <w:pPr>
        <w:spacing w:after="90"/>
        <w:jc w:val="both"/>
      </w:pPr>
      <w:r>
        <w:t xml:space="preserve">где её использование опасно. Это не рекламный паспорт качества. Карточка должна помогать</w:t>
      </w:r>
    </w:p>
    <w:p>
      <w:pPr>
        <w:spacing w:after="90"/>
        <w:jc w:val="both"/>
      </w:pPr>
      <w:r>
        <w:t xml:space="preserve">разработчику, владельцу процесса, reviewer и пользователю принять обоснованное решение.</w:t>
      </w:r>
    </w:p>
    <w:p>
      <w:pPr>
        <w:pStyle w:val="Heading1"/>
        <w:keepNext/>
      </w:pPr>
      <w:r>
        <w:t xml:space="preserve">7. Обязательные разделы model card</w:t>
      </w:r>
    </w:p>
    <w:p>
      <w:pPr>
        <w:spacing w:after="90"/>
        <w:jc w:val="both"/>
      </w:pPr>
      <w:r>
        <w:t xml:space="preserve">Для курса обязательны: краткое описание; назначение; недопустимое использование; модель и данные;</w:t>
      </w:r>
    </w:p>
    <w:p>
      <w:pPr>
        <w:spacing w:after="90"/>
        <w:jc w:val="both"/>
      </w:pPr>
      <w:r>
        <w:t xml:space="preserve">оценка качества; групповые метрики; ограничения и риски; мониторинг и реакция; безопасность и</w:t>
      </w:r>
    </w:p>
    <w:p>
      <w:pPr>
        <w:spacing w:after="90"/>
        <w:jc w:val="both"/>
      </w:pPr>
      <w:r>
        <w:t xml:space="preserve">конфиденциальность; надзор человека; владелец и журнал изменений.</w:t>
      </w:r>
    </w:p>
    <w:p>
      <w:pPr>
        <w:pStyle w:val="Heading1"/>
        <w:keepNext/>
      </w:pPr>
      <w:r>
        <w:t xml:space="preserve">8. Intended use и out-of-scope</w:t>
      </w:r>
    </w:p>
    <w:p>
      <w:pPr>
        <w:spacing w:after="90"/>
        <w:jc w:val="both"/>
      </w:pPr>
      <w:r>
        <w:t xml:space="preserve">Фраза «прогноз задержки» слишком широка. Нужны момент решения, пользователь, действие и допустимый</w:t>
      </w:r>
    </w:p>
    <w:p>
      <w:pPr>
        <w:spacing w:after="90"/>
        <w:jc w:val="both"/>
      </w:pPr>
      <w:r>
        <w:t xml:space="preserve">масштаб. В учебном проекте разрешена демонстрация за 60 минут до вылета. Решения о безопасности,</w:t>
      </w:r>
    </w:p>
    <w:p>
      <w:pPr>
        <w:spacing w:after="90"/>
        <w:jc w:val="both"/>
      </w:pPr>
      <w:r>
        <w:t xml:space="preserve">компенсациях, работниках или реальной эксплуатации явно запрещены.</w:t>
      </w:r>
    </w:p>
    <w:p>
      <w:pPr>
        <w:pStyle w:val="Heading1"/>
        <w:keepNext/>
      </w:pPr>
      <w:r>
        <w:t xml:space="preserve">9. Версия и provenance</w:t>
      </w:r>
    </w:p>
    <w:p>
      <w:pPr>
        <w:spacing w:after="90"/>
        <w:jc w:val="both"/>
      </w:pPr>
      <w:r>
        <w:t xml:space="preserve">Model card связывается с commit SHA, model registry version, data/feature contract, test window,</w:t>
      </w:r>
    </w:p>
    <w:p>
      <w:pPr>
        <w:spacing w:after="90"/>
        <w:jc w:val="both"/>
      </w:pPr>
      <w:r>
        <w:t xml:space="preserve">threshold и release manifest. Если карточка описывает «последнюю модель», её невозможно проверить</w:t>
      </w:r>
    </w:p>
    <w:p>
      <w:pPr>
        <w:spacing w:after="90"/>
        <w:jc w:val="both"/>
      </w:pPr>
      <w:r>
        <w:t xml:space="preserve">после следующего выпуска. Источник данных и право использования входят в provenance наравне с hash.</w:t>
      </w:r>
    </w:p>
    <w:p>
      <w:pPr>
        <w:pStyle w:val="Heading1"/>
        <w:keepNext/>
      </w:pPr>
      <w:r>
        <w:t xml:space="preserve">10. Data card</w:t>
      </w:r>
    </w:p>
    <w:p>
      <w:pPr>
        <w:spacing w:after="90"/>
        <w:jc w:val="both"/>
      </w:pPr>
      <w:r>
        <w:t xml:space="preserve">Data card описывает происхождение, назначение, схему, сбор, качество, временное разбиение, права,</w:t>
      </w:r>
    </w:p>
    <w:p>
      <w:pPr>
        <w:spacing w:after="90"/>
        <w:jc w:val="both"/>
      </w:pPr>
      <w:r>
        <w:t xml:space="preserve">хранение и известные ограничения. Контракт отвечает «что машина проверяет», карточка — «что это</w:t>
      </w:r>
    </w:p>
    <w:p>
      <w:pPr>
        <w:spacing w:after="90"/>
        <w:jc w:val="both"/>
      </w:pPr>
      <w:r>
        <w:t xml:space="preserve">означает и почему допустимо». Эти документы дополняют, а не заменяют друг друга.</w:t>
      </w:r>
    </w:p>
    <w:p>
      <w:pPr>
        <w:pStyle w:val="Heading1"/>
        <w:keepNext/>
      </w:pPr>
      <w:r>
        <w:t xml:space="preserve">11. Минимизация и хранение данных</w:t>
      </w:r>
    </w:p>
    <w:p>
      <w:pPr>
        <w:spacing w:after="90"/>
        <w:jc w:val="both"/>
      </w:pPr>
      <w:r>
        <w:t xml:space="preserve">Собирать нужно только поля, необходимые для заявленного сценария. Для каждого внешнего источника</w:t>
      </w:r>
    </w:p>
    <w:p>
      <w:pPr>
        <w:spacing w:after="90"/>
        <w:jc w:val="both"/>
      </w:pPr>
      <w:r>
        <w:t xml:space="preserve">фиксируются владелец, основание использования, срок хранения, удаление и получатели. Учебный проект</w:t>
      </w:r>
    </w:p>
    <w:p>
      <w:pPr>
        <w:spacing w:after="90"/>
        <w:jc w:val="both"/>
      </w:pPr>
      <w:r>
        <w:t xml:space="preserve">использует синтетические данные и не даёт разрешения добавлять реальные персональные сведения.</w:t>
      </w:r>
    </w:p>
    <w:p>
      <w:pPr>
        <w:pStyle w:val="Heading1"/>
        <w:keepNext/>
      </w:pPr>
      <w:r>
        <w:t xml:space="preserve">12. Порог и стоимость ошибок</w:t>
      </w:r>
    </w:p>
    <w:p>
      <w:pPr>
        <w:spacing w:after="90"/>
        <w:jc w:val="both"/>
      </w:pPr>
      <w:r>
        <w:t xml:space="preserve">Threshold преобразует вероятность в действие. Его нельзя выбирать только по максимальному F1:</w:t>
      </w:r>
    </w:p>
    <w:p>
      <w:pPr>
        <w:spacing w:after="90"/>
        <w:jc w:val="both"/>
      </w:pPr>
      <w:r>
        <w:t xml:space="preserve">ложноположительная и ложноотрицательная ошибки имеют разную стоимость. Изменение threshold меняет</w:t>
      </w:r>
    </w:p>
    <w:p>
      <w:pPr>
        <w:spacing w:after="90"/>
        <w:jc w:val="both"/>
      </w:pPr>
      <w:r>
        <w:t xml:space="preserve">precision, recall, нагрузку на оператора и групповые различия, поэтому считается изменением policy.</w:t>
      </w:r>
    </w:p>
    <w:p>
      <w:pPr>
        <w:pStyle w:val="Heading1"/>
        <w:keepNext/>
      </w:pPr>
      <w:r>
        <w:t xml:space="preserve">13. Зачем нужны групповые метрики</w:t>
      </w:r>
    </w:p>
    <w:p>
      <w:pPr>
        <w:spacing w:after="90"/>
        <w:jc w:val="both"/>
      </w:pPr>
      <w:r>
        <w:t xml:space="preserve">Среднее качество может скрыть сегмент, где модель систематически ошибается. Группы выбираются не</w:t>
      </w:r>
    </w:p>
    <w:p>
      <w:pPr>
        <w:spacing w:after="90"/>
        <w:jc w:val="both"/>
      </w:pPr>
      <w:r>
        <w:t xml:space="preserve">потому, что столбец доступен, а по гипотезе риска и предполагаемому воздействию. Сначала фиксируется</w:t>
      </w:r>
    </w:p>
    <w:p>
      <w:pPr>
        <w:spacing w:after="90"/>
        <w:jc w:val="both"/>
      </w:pPr>
      <w:r>
        <w:t xml:space="preserve">вопрос, затем набор, метрика и критерий решения.</w:t>
      </w:r>
    </w:p>
    <w:p>
      <w:pPr>
        <w:pStyle w:val="Heading1"/>
        <w:keepNext/>
      </w:pPr>
      <w:r>
        <w:t xml:space="preserve">14. Учебный безопасный сегмент</w:t>
      </w:r>
    </w:p>
    <w:p>
      <w:pPr>
        <w:spacing w:after="90"/>
        <w:jc w:val="both"/>
      </w:pPr>
      <w:r>
        <w:t xml:space="preserve">В курсе используется </w:t>
      </w:r>
      <w:r>
        <w:rPr>
          <w:rFonts w:ascii="Consolas" w:cs="Consolas" w:eastAsia="Consolas" w:hAnsi="Consolas"/>
          <w:color w:val="1F4E79"/>
        </w:rPr>
        <w:t xml:space="preserve">IsWeekend</w:t>
      </w:r>
      <w:r>
        <w:t xml:space="preserve">, чтобы отработать вычисление, minimum support и CI gate без</w:t>
      </w:r>
    </w:p>
    <w:p>
      <w:pPr>
        <w:spacing w:after="90"/>
        <w:jc w:val="both"/>
      </w:pPr>
      <w:r>
        <w:t xml:space="preserve">обработки чувствительных атрибутов. Это операционный сегмент, не защищённая группа. Результат нельзя</w:t>
      </w:r>
    </w:p>
    <w:p>
      <w:pPr>
        <w:spacing w:after="90"/>
        <w:jc w:val="both"/>
      </w:pPr>
      <w:r>
        <w:t xml:space="preserve">называть оценкой дискриминации или переносить на людей.</w:t>
      </w:r>
    </w:p>
    <w:p>
      <w:pPr>
        <w:pStyle w:val="Heading1"/>
        <w:keepNext/>
      </w:pPr>
      <w:r>
        <w:t xml:space="preserve">15. Минимальный размер группы</w:t>
      </w:r>
    </w:p>
    <w:p>
      <w:pPr>
        <w:spacing w:after="90"/>
        <w:jc w:val="both"/>
      </w:pPr>
      <w:r>
        <w:t xml:space="preserve">Метрика на двух строках математически вычислима, но неустойчива и может раскрывать отдельные</w:t>
      </w:r>
    </w:p>
    <w:p>
      <w:pPr>
        <w:spacing w:after="90"/>
        <w:jc w:val="both"/>
      </w:pPr>
      <w:r>
        <w:t xml:space="preserve">наблюдения. Policy задаёт minimum group rows. Недостаточная группа получает статус</w:t>
      </w:r>
    </w:p>
    <w:p>
      <w:pPr>
        <w:spacing w:after="90"/>
        <w:jc w:val="both"/>
      </w:pPr>
      <w:r>
        <w:rPr>
          <w:rFonts w:ascii="Consolas" w:cs="Consolas" w:eastAsia="Consolas" w:hAnsi="Consolas"/>
          <w:color w:val="1F4E79"/>
        </w:rPr>
        <w:t xml:space="preserve">insufficient_sample</w:t>
      </w:r>
      <w:r>
        <w:t xml:space="preserve">; её значение не публикуется и не заменяется нулём.</w:t>
      </w:r>
    </w:p>
    <w:p>
      <w:pPr>
        <w:pStyle w:val="Heading1"/>
        <w:keepNext/>
      </w:pPr>
      <w:r>
        <w:t xml:space="preserve">16. Что сравнивать</w:t>
      </w:r>
    </w:p>
    <w:p>
      <w:pPr>
        <w:spacing w:after="90"/>
        <w:jc w:val="both"/>
      </w:pPr>
      <w:r>
        <w:t xml:space="preserve">Для каждой достаточной группы сохраняются n, доля положительного класса, доля положительных</w:t>
      </w:r>
    </w:p>
    <w:p>
      <w:pPr>
        <w:spacing w:after="90"/>
        <w:jc w:val="both"/>
      </w:pPr>
      <w:r>
        <w:t xml:space="preserve">предсказаний, precision, recall, F1 и ROC AUC, если присутствуют оба класса. Gap имеет смысл только</w:t>
      </w:r>
    </w:p>
    <w:p>
      <w:pPr>
        <w:spacing w:after="90"/>
        <w:jc w:val="both"/>
      </w:pPr>
      <w:r>
        <w:t xml:space="preserve">вместе с объёмами, доверительными интервалами, базовыми частотами и стоимостью ошибок.</w:t>
      </w:r>
    </w:p>
    <w:p>
      <w:pPr>
        <w:pStyle w:val="Heading1"/>
        <w:keepNext/>
      </w:pPr>
      <w:r>
        <w:t xml:space="preserve">17. Почему parity не равна fairness</w:t>
      </w:r>
    </w:p>
    <w:p>
      <w:pPr>
        <w:spacing w:after="90"/>
        <w:jc w:val="both"/>
      </w:pPr>
      <w:r>
        <w:t xml:space="preserve">Одинаковый F1 может скрывать разные recall и false-positive rate. Равенство конкретной метрики может</w:t>
      </w:r>
    </w:p>
    <w:p>
      <w:pPr>
        <w:spacing w:after="90"/>
        <w:jc w:val="both"/>
      </w:pPr>
      <w:r>
        <w:t xml:space="preserve">противоречить другой цели. Защищённый атрибут может отсутствовать, быть неточным или иметь proxy.</w:t>
      </w:r>
    </w:p>
    <w:p>
      <w:pPr>
        <w:spacing w:after="90"/>
        <w:jc w:val="both"/>
      </w:pPr>
      <w:r>
        <w:t xml:space="preserve">Fairness является контекстным социотехническим требованием, а не одним универсальным числом.</w:t>
      </w:r>
    </w:p>
    <w:p>
      <w:pPr>
        <w:pStyle w:val="Heading1"/>
        <w:keepNext/>
      </w:pPr>
      <w:r>
        <w:t xml:space="preserve">18. Решение при нарушении gate</w:t>
      </w:r>
    </w:p>
    <w:p>
      <w:pPr>
        <w:spacing w:after="90"/>
        <w:jc w:val="both"/>
      </w:pPr>
      <w:r>
        <w:t xml:space="preserve">Нарушение порога переводит выпуск в review, а не автоматически доказывает вред. Команда проверяет</w:t>
      </w:r>
    </w:p>
    <w:p>
      <w:pPr>
        <w:spacing w:after="90"/>
        <w:jc w:val="both"/>
      </w:pPr>
      <w:r>
        <w:t xml:space="preserve">качество данных, размер и период группы, threshold, стоимость ошибки и альтернативы. Возможные</w:t>
      </w:r>
    </w:p>
    <w:p>
      <w:pPr>
        <w:spacing w:after="90"/>
        <w:jc w:val="both"/>
      </w:pPr>
      <w:r>
        <w:t xml:space="preserve">решения: собрать данные, изменить сценарий, ограничить использование, откалибровать модель или</w:t>
      </w:r>
    </w:p>
    <w:p>
      <w:pPr>
        <w:spacing w:after="90"/>
        <w:jc w:val="both"/>
      </w:pPr>
      <w:r>
        <w:t xml:space="preserve">остановить выпуск.</w:t>
      </w:r>
    </w:p>
    <w:p>
      <w:pPr>
        <w:pStyle w:val="Heading1"/>
        <w:keepNext/>
      </w:pPr>
      <w:r>
        <w:t xml:space="preserve">19. NIST AI RMF</w:t>
      </w:r>
    </w:p>
    <w:p>
      <w:pPr>
        <w:spacing w:after="90"/>
        <w:jc w:val="both"/>
      </w:pPr>
      <w:r>
        <w:t xml:space="preserve">AI RMF организует работу вокруг четырёх функций. Govern задаёт роли, policy и культуру риска; Map —</w:t>
      </w:r>
    </w:p>
    <w:p>
      <w:pPr>
        <w:spacing w:after="90"/>
        <w:jc w:val="both"/>
      </w:pPr>
      <w:r>
        <w:t xml:space="preserve">контекст, участников и возможный вред; Measure — методы и evidence; Manage — приоритеты, реакцию и</w:t>
      </w:r>
    </w:p>
    <w:p>
      <w:pPr>
        <w:spacing w:after="90"/>
        <w:jc w:val="both"/>
      </w:pPr>
      <w:r>
        <w:t xml:space="preserve">мониторинг. Govern является сквозной функцией. Это не линейный универсальный чек-лист.</w:t>
      </w:r>
    </w:p>
    <w:p>
      <w:pPr>
        <w:pStyle w:val="Heading1"/>
        <w:keepNext/>
      </w:pPr>
      <w:r>
        <w:t xml:space="preserve">20. Применение RMF к проекту</w:t>
      </w:r>
    </w:p>
    <w:p>
      <w:pPr>
        <w:spacing w:after="90"/>
        <w:jc w:val="both"/>
      </w:pPr>
      <w:r>
        <w:t xml:space="preserve">Govern: CODEOWNERS, policy, владелец и stop authority. Map: пользователи, out-of-scope, данные,</w:t>
      </w:r>
    </w:p>
    <w:p>
      <w:pPr>
        <w:spacing w:after="90"/>
        <w:jc w:val="both"/>
      </w:pPr>
      <w:r>
        <w:t xml:space="preserve">границы и затронутые стороны. Measure: метрики, тесты, threat model и completeness audit. Manage:</w:t>
      </w:r>
    </w:p>
    <w:p>
      <w:pPr>
        <w:spacing w:after="90"/>
        <w:jc w:val="both"/>
      </w:pPr>
      <w:r>
        <w:t xml:space="preserve">release decision, mitigation, monitoring, incident response и rollback.</w:t>
      </w:r>
    </w:p>
    <w:p>
      <w:pPr>
        <w:pStyle w:val="Heading1"/>
        <w:keepNext/>
      </w:pPr>
      <w:r>
        <w:t xml:space="preserve">21. Threat modeling</w:t>
      </w:r>
    </w:p>
    <w:p>
      <w:pPr>
        <w:spacing w:after="90"/>
        <w:jc w:val="both"/>
      </w:pPr>
      <w:r>
        <w:t xml:space="preserve">Threat model начинает не с продукта-сканера, а с активов, границ доверия, злоумышленника и</w:t>
      </w:r>
    </w:p>
    <w:p>
      <w:pPr>
        <w:spacing w:after="90"/>
        <w:jc w:val="both"/>
      </w:pPr>
      <w:r>
        <w:t xml:space="preserve">последствия. Для ML-сервиса активами являются код, данные, модель, registry, credentials, CI и</w:t>
      </w:r>
    </w:p>
    <w:p>
      <w:pPr>
        <w:spacing w:after="90"/>
        <w:jc w:val="both"/>
      </w:pPr>
      <w:r>
        <w:t xml:space="preserve">логи. Угрозы включают утечку секрета, poisoning, подмену артефакта, supply-chain и избыточный лог.</w:t>
      </w:r>
    </w:p>
    <w:p>
      <w:pPr>
        <w:pStyle w:val="Heading1"/>
        <w:keepNext/>
      </w:pPr>
      <w:r>
        <w:t xml:space="preserve">22. Секреты</w:t>
      </w:r>
    </w:p>
    <w:p>
      <w:pPr>
        <w:spacing w:after="90"/>
        <w:jc w:val="both"/>
      </w:pPr>
      <w:r>
        <w:t xml:space="preserve">Секрет не хранится в репозитории, </w:t>
      </w:r>
      <w:r>
        <w:rPr>
          <w:rFonts w:ascii="Consolas" w:cs="Consolas" w:eastAsia="Consolas" w:hAnsi="Consolas"/>
          <w:color w:val="1F4E79"/>
        </w:rPr>
        <w:t xml:space="preserve">.env.example</w:t>
      </w:r>
      <w:r>
        <w:t xml:space="preserve"> содержит только имена и безопасные заполнители.</w:t>
      </w:r>
    </w:p>
    <w:p>
      <w:pPr>
        <w:spacing w:after="90"/>
        <w:jc w:val="both"/>
      </w:pPr>
      <w:r>
        <w:t xml:space="preserve">Secret scanning и push protection снижают риск случайного commit, но не заменяют rotation. После</w:t>
      </w:r>
    </w:p>
    <w:p>
      <w:pPr>
        <w:spacing w:after="90"/>
        <w:jc w:val="both"/>
      </w:pPr>
      <w:r>
        <w:t xml:space="preserve">утечки секрет сначала отзывают или меняют, затем исправляют историю и источник появления.</w:t>
      </w:r>
    </w:p>
    <w:p>
      <w:pPr>
        <w:pStyle w:val="Heading1"/>
        <w:keepNext/>
      </w:pPr>
      <w:r>
        <w:t xml:space="preserve">23. Безопасные логи</w:t>
      </w:r>
    </w:p>
    <w:p>
      <w:pPr>
        <w:spacing w:after="90"/>
        <w:jc w:val="both"/>
      </w:pPr>
      <w:r>
        <w:t xml:space="preserve">Observability следует принципу allowlist: записываются request ID, route template, status, latency и</w:t>
      </w:r>
    </w:p>
    <w:p>
      <w:pPr>
        <w:spacing w:after="90"/>
        <w:jc w:val="both"/>
      </w:pPr>
      <w:r>
        <w:t xml:space="preserve">версия модели, но не сырые признаки, token, пароль или персональные данные. Нельзя сначала собрать</w:t>
      </w:r>
    </w:p>
    <w:p>
      <w:pPr>
        <w:spacing w:after="90"/>
        <w:jc w:val="both"/>
      </w:pPr>
      <w:r>
        <w:t xml:space="preserve">всё, а потом надеяться удалить чувствительные поля.</w:t>
      </w:r>
    </w:p>
    <w:p>
      <w:pPr>
        <w:pStyle w:val="Heading1"/>
        <w:keepNext/>
      </w:pPr>
      <w:r>
        <w:t xml:space="preserve">24. Цепочка поставки и лицензии</w:t>
      </w:r>
    </w:p>
    <w:p>
      <w:pPr>
        <w:spacing w:after="90"/>
        <w:jc w:val="both"/>
      </w:pPr>
      <w:r>
        <w:t xml:space="preserve">SBOM отвечает, что вошло в артефакт; сканер — какие известные проблемы найдены; license review —</w:t>
      </w:r>
    </w:p>
    <w:p>
      <w:pPr>
        <w:spacing w:after="90"/>
        <w:jc w:val="both"/>
      </w:pPr>
      <w:r>
        <w:t xml:space="preserve">можно ли распространять компонент выбранным способом. Версия и лицензия проверяются по</w:t>
      </w:r>
    </w:p>
    <w:p>
      <w:pPr>
        <w:spacing w:after="90"/>
        <w:jc w:val="both"/>
      </w:pPr>
      <w:r>
        <w:t xml:space="preserve">фактическому пакету и официальному источнику. Неизвестный статус блокирует release.</w:t>
      </w:r>
    </w:p>
    <w:p>
      <w:pPr>
        <w:pStyle w:val="Heading1"/>
        <w:keepNext/>
      </w:pPr>
      <w:r>
        <w:t xml:space="preserve">25. Human oversight</w:t>
      </w:r>
    </w:p>
    <w:p>
      <w:pPr>
        <w:spacing w:after="90"/>
        <w:jc w:val="both"/>
      </w:pPr>
      <w:r>
        <w:t xml:space="preserve">Автоматический gate хорошо обнаруживает неполный заголовок или превышенный gap. Он не понимает</w:t>
      </w:r>
    </w:p>
    <w:p>
      <w:pPr>
        <w:spacing w:after="90"/>
        <w:jc w:val="both"/>
      </w:pPr>
      <w:r>
        <w:t xml:space="preserve">общественную цену ошибки и законность сценария. Ответственный человек должен иметь контекст,</w:t>
      </w:r>
    </w:p>
    <w:p>
      <w:pPr>
        <w:spacing w:after="90"/>
        <w:jc w:val="both"/>
      </w:pPr>
      <w:r>
        <w:t xml:space="preserve">полномочие остановить выпуск и альтернативу модели — например, ручную обработку или отказ.</w:t>
      </w:r>
    </w:p>
    <w:p>
      <w:pPr>
        <w:pStyle w:val="Heading1"/>
        <w:keepNext/>
      </w:pPr>
      <w:r>
        <w:t xml:space="preserve">26. Демонстрация преподавателя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Запустить </w:t>
      </w:r>
      <w:r>
        <w:rPr>
          <w:rFonts w:ascii="Consolas" w:cs="Consolas" w:eastAsia="Consolas" w:hAnsi="Consolas"/>
          <w:color w:val="1F4E79"/>
        </w:rPr>
        <w:t xml:space="preserve">mlops_flight_delay.governance</w:t>
      </w:r>
      <w:r>
        <w:t xml:space="preserve"> на baseline.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Показать overall и две группы с n.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Удалить строки одной группы и получить </w:t>
      </w:r>
      <w:r>
        <w:rPr>
          <w:rFonts w:ascii="Consolas" w:cs="Consolas" w:eastAsia="Consolas" w:hAnsi="Consolas"/>
          <w:color w:val="1F4E79"/>
        </w:rPr>
        <w:t xml:space="preserve">insufficient_sample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Удалить заголовок model card и показать fail completeness check.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Изменить threshold и обсудить метрики/стоимость ошибок.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Открыть threat model и проследить одну угрозу до контроля и residual risk.</w:t>
      </w:r>
    </w:p>
    <w:p>
      <w:pPr>
        <w:pStyle w:val="Heading1"/>
        <w:keepNext/>
      </w:pPr>
      <w:r>
        <w:t xml:space="preserve">27. Вопросы аудитории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Почему наличие model card не доказывает безопасность?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Что изменится при новом threshold?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Почему малую группу нельзя публиковать как обычную метрику?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Можно ли считать равный F1 доказательством fairness?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Чем data contract отличается от data card?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Что делать первым после утечки секрета?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Зачем threat model содержит остаточный риск?</w:t>
      </w:r>
    </w:p>
    <w:p>
      <w:pPr>
        <w:pStyle w:val="ListParagraph"/>
        <w:numPr>
          <w:ilvl w:val="0"/>
          <w:numId w:val="2"/>
        </w:numPr>
        <w:spacing w:after="45"/>
      </w:pPr>
      <w:r>
        <w:t xml:space="preserve">Кто имеет право остановить учебный release?</w:t>
      </w:r>
    </w:p>
    <w:p>
      <w:pPr>
        <w:pStyle w:val="Heading1"/>
        <w:keepNext/>
      </w:pPr>
      <w:r>
        <w:t xml:space="preserve">28. Связь с ЛР14 и ЛР15</w:t>
      </w:r>
    </w:p>
    <w:p>
      <w:pPr>
        <w:spacing w:after="90"/>
        <w:jc w:val="both"/>
      </w:pPr>
      <w:r>
        <w:t xml:space="preserve">В ЛР14 команда создаёт и проверяет release evidence. В ЛР15 эти ограничения войдут в нагрузочное и</w:t>
      </w:r>
    </w:p>
    <w:p>
      <w:pPr>
        <w:spacing w:after="90"/>
        <w:jc w:val="both"/>
      </w:pPr>
      <w:r>
        <w:t xml:space="preserve">масштабное решение: производительность и стоимость нельзя оптимизировать без SLO, security и</w:t>
      </w:r>
    </w:p>
    <w:p>
      <w:pPr>
        <w:spacing w:after="90"/>
        <w:jc w:val="both"/>
      </w:pPr>
      <w:r>
        <w:t xml:space="preserve">ответственного назначения системы.</w:t>
      </w:r>
    </w:p>
    <w:p>
      <w:pPr>
        <w:pStyle w:val="Heading1"/>
        <w:keepNext/>
      </w:pPr>
      <w:r>
        <w:t xml:space="preserve">29. Официальные источники</w:t>
      </w:r>
    </w:p>
    <w:p>
      <w:pPr>
        <w:pStyle w:val="ListParagraph"/>
        <w:numPr>
          <w:ilvl w:val="0"/>
          <w:numId w:val="1"/>
        </w:numPr>
        <w:spacing w:after="45"/>
      </w:pPr>
      <w:r>
        <w:t xml:space="preserve">NIST AI RMF: https://www.nist.gov/itl/ai-risk-management-framework</w:t>
      </w:r>
    </w:p>
    <w:p>
      <w:pPr>
        <w:pStyle w:val="ListParagraph"/>
        <w:numPr>
          <w:ilvl w:val="0"/>
          <w:numId w:val="1"/>
        </w:numPr>
        <w:spacing w:after="45"/>
      </w:pPr>
      <w:r>
        <w:t xml:space="preserve">NIST AI RMF Core: https://airc.nist.gov/airmf-resources/airmf/5-sec-core/</w:t>
      </w:r>
    </w:p>
    <w:p>
      <w:pPr>
        <w:pStyle w:val="ListParagraph"/>
        <w:numPr>
          <w:ilvl w:val="0"/>
          <w:numId w:val="1"/>
        </w:numPr>
        <w:spacing w:after="45"/>
      </w:pPr>
      <w:r>
        <w:t xml:space="preserve">Model Card Toolkit repository (архивирован; источник структуры, не новая зависимость): https://github.com/tensorflow/model-card-toolkit</w:t>
      </w:r>
    </w:p>
    <w:p>
      <w:pPr>
        <w:pStyle w:val="ListParagraph"/>
        <w:numPr>
          <w:ilvl w:val="0"/>
          <w:numId w:val="1"/>
        </w:numPr>
        <w:spacing w:after="45"/>
      </w:pPr>
      <w:r>
        <w:t xml:space="preserve">GitHub secret security: https://docs.github.com/en/code-security/concepts/secret-security</w:t>
      </w:r>
    </w:p>
    <w:p>
      <w:pPr>
        <w:pStyle w:val="ListParagraph"/>
        <w:numPr>
          <w:ilvl w:val="0"/>
          <w:numId w:val="1"/>
        </w:numPr>
        <w:spacing w:after="45"/>
      </w:pPr>
      <w:r>
        <w:t xml:space="preserve">scikit-learn model evaluation: https://scikit-learn.org/stable/modules/model_evaluation.html</w:t>
      </w:r>
    </w:p>
    <w:sectPr>
      <w:headerReference w:type="default" r:id="rId7"/>
      <w:footerReference w:type="default" r:id="rId8"/>
      <w:pgSz w:w="11906" w:h="16838" w:orient="portrait"/>
      <w:pgMar w:top="1000" w:right="980" w:bottom="95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Страница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Caption"/>
      <w:jc w:val="right"/>
    </w:pPr>
    <w:r>
      <w:t xml:space="preserve">MLOps · 2026–2027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2B33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60"/>
      <w:jc w:val="left"/>
    </w:pPr>
    <w:rPr>
      <w:rFonts w:ascii="Arial" w:cs="Arial" w:eastAsia="Arial" w:hAnsi="Arial"/>
      <w:b/>
      <w:bCs/>
      <w:color w:val="163A5F"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spacing w:after="100" w:before="240"/>
    </w:pPr>
    <w:rPr>
      <w:rFonts w:ascii="Arial" w:cs="Arial" w:eastAsia="Arial" w:hAnsi="Arial"/>
      <w:b/>
      <w:bCs/>
      <w:color w:val="1F4E79"/>
      <w:sz w:val="27"/>
      <w:szCs w:val="27"/>
    </w:rPr>
  </w:style>
  <w:style w:type="paragraph" w:styleId="Heading2">
    <w:name w:val="Heading 2"/>
    <w:basedOn w:val="Normal"/>
    <w:next w:val="Normal"/>
    <w:qFormat/>
    <w:pPr>
      <w:keepNext/>
      <w:spacing w:after="80" w:before="180"/>
    </w:pPr>
    <w:rPr>
      <w:rFonts w:ascii="Arial" w:cs="Arial" w:eastAsia="Arial" w:hAnsi="Arial"/>
      <w:b/>
      <w:bCs/>
      <w:color w:val="2F669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Лекция 13</dc:title>
  <dc:creator>Курс MLOps 2026–2027</dc:creator>
  <cp:lastModifiedBy>Un-named</cp:lastModifiedBy>
  <cp:revision>1</cp:revision>
  <dcterms:created xsi:type="dcterms:W3CDTF">2026-10-20T15:56:46.311Z</dcterms:created>
  <dcterms:modified xsi:type="dcterms:W3CDTF">2026-10-20T15:56:46.313Z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