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Лекция 7 Сервис предсказаний и контракт API</w:t>
      </w:r>
    </w:p>
    <w:p>
      <w:pPr>
        <w:spacing w:after="120" w:line="276"/>
        <w:jc w:val="both"/>
      </w:pPr>
      <w:r>
        <w:t xml:space="preserve">Курс: Управление процессами машинного обучения MLOps Продолжительность: 2 академических часа Связанная работа: ЛР7 «Сервис предсказаний и контракт API»</w:t>
      </w:r>
    </w:p>
    <w:p>
      <w:pPr>
        <w:pStyle w:val="Heading1"/>
      </w:pPr>
      <w:r>
        <w:t xml:space="preserve">Цель лекции</w:t>
      </w:r>
    </w:p>
    <w:p>
      <w:pPr>
        <w:spacing w:after="120" w:line="276"/>
        <w:jc w:val="both"/>
      </w:pPr>
      <w:r>
        <w:t xml:space="preserve">Показать API как устойчивую границу между моделью и клиентом. После занятия студент должен уметь проектировать строгий request/response contract, объяснять OpenAPI, readiness, status codes и request ID, оценивать совместимость изменений и связывать контракт с автоматическими тестами.</w:t>
      </w:r>
    </w:p>
    <w:p>
      <w:pPr>
        <w:pStyle w:val="Heading1"/>
      </w:pPr>
      <w:r>
        <w:t xml:space="preserve">План занятия</w:t>
      </w:r>
    </w:p>
    <w:tbl>
      <w:tblPr>
        <w:tblW w:type="pct" w:w="100%"/>
        <w:tblBorders>
          <w:top w:val="single" w:color="9AA7B2" w:sz="4"/>
          <w:left w:val="single" w:color="9AA7B2" w:sz="4"/>
          <w:bottom w:val="single" w:color="9AA7B2" w:sz="4"/>
          <w:right w:val="single" w:color="9AA7B2" w:sz="4"/>
          <w:insideH w:val="single" w:color="C7D0D8" w:sz="2"/>
          <w:insideV w:val="single" w:color="C7D0D8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Действие преподавателя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0–10 мин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Модель и сервис — разные продукты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Разобрать путь запроса от клиента к артефакту модели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10–25 мин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HTTP-контракт и момент прогноза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Вывести минимальный request из data contract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25–40 мин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Pydantic и строгая валидация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Показать ошибки неявного приведения и лишних полей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40–52 мин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Response и ошибки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Сопоставить 200, 422, 500 и 503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52–65 мин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OpenAPI и совместимость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Прочитать сгенерированную JSON Schema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65–76 мин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Lifespan, health и readiness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Смоделировать процесс без загруженной модели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76–84 мин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Наблюдаемость и request ID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Связать запрос, ответ, лог и метрику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84–90 мин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Contract tests и ЛР7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Сформулировать доказательства индивидуальной сдачи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 От модели к обслуживаемому решению</w:t>
      </w:r>
    </w:p>
    <w:p>
      <w:pPr>
        <w:spacing w:after="120" w:line="276"/>
        <w:jc w:val="both"/>
      </w:pPr>
      <w:r>
        <w:t xml:space="preserve">Начните с вопроса: «Что должен знать клиент, чтобы использовать модель?» Клиенту не нужен объект scikit-learn, путь к </w:t>
      </w:r>
      <w:r>
        <w:rPr>
          <w:rFonts w:ascii="Consolas" w:cs="Consolas" w:eastAsia="Consolas" w:hAnsi="Consolas"/>
          <w:color w:val="1F4E79"/>
        </w:rPr>
        <w:t xml:space="preserve">joblib</w:t>
      </w:r>
      <w:r>
        <w:t xml:space="preserve"> или порядок колонок внутри DataFrame. Ему нужен стабильный договор: адрес, метод, допустимый JSON, ответ, ошибки и обещания по готовности.</w:t>
      </w:r>
    </w:p>
    <w:p>
      <w:pPr>
        <w:spacing w:after="120" w:line="276"/>
        <w:jc w:val="both"/>
      </w:pPr>
      <w:r>
        <w:t xml:space="preserve">Модель отвечает на вопрос о вычислении. Сервис дополнительно решает: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когда и как загрузить модель;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какие входы допустимы в момент прогноза;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как преобразовать вход в признаки;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как обозначить неготовность;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как ограничить и документировать выход;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как найти конкретный запрос в диагностике;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как изменить контракт, не разрушив клиентов.</w:t>
      </w:r>
    </w:p>
    <w:p>
      <w:pPr>
        <w:spacing w:after="120" w:line="276"/>
        <w:jc w:val="both"/>
      </w:pPr>
      <w:r>
        <w:t xml:space="preserve">Поэтому «обернуть модель в FastAPI» недостаточно. Сначала проектируют внешний контракт, затем связывают его с реализацией.</w:t>
      </w:r>
    </w:p>
    <w:p>
      <w:pPr>
        <w:pStyle w:val="Heading1"/>
      </w:pPr>
      <w:r>
        <w:t xml:space="preserve">2 Граница доверия</w:t>
      </w:r>
    </w:p>
    <w:p>
      <w:pPr>
        <w:spacing w:after="120" w:line="276"/>
        <w:jc w:val="both"/>
      </w:pPr>
      <w:r>
        <w:t xml:space="preserve">HTTP-вход — недоверенные данные. Клиент может прислать пропущенное поле, строку вместо числа, дополнительный ключ, чрезмерно длинный идентификатор или признак, который существует в датасете, но неизвестен на момент прогноза.</w:t>
      </w:r>
    </w:p>
    <w:p>
      <w:pPr>
        <w:spacing w:after="120" w:line="276"/>
        <w:jc w:val="both"/>
      </w:pPr>
      <w:r>
        <w:t xml:space="preserve">Для проекта задержки рейса прогноз строится за 60 минут до планового отправления. В request допустимы </w:t>
      </w:r>
      <w:r>
        <w:rPr>
          <w:rFonts w:ascii="Consolas" w:cs="Consolas" w:eastAsia="Consolas" w:hAnsi="Consolas"/>
          <w:color w:val="1F4E79"/>
        </w:rPr>
        <w:t xml:space="preserve">dep_hour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is_weekend</w:t>
      </w:r>
      <w:r>
        <w:t xml:space="preserve">, но недопустимы фактическая задержка и любые признаки будущего. Это не только защита формата: API продолжает data contract ЛР2.</w:t>
      </w:r>
    </w:p>
    <w:p>
      <w:pPr>
        <w:spacing w:after="120" w:line="276"/>
        <w:jc w:val="both"/>
      </w:pPr>
      <w:r>
        <w:t xml:space="preserve">Попросите студентов разделить признаки на три группы: доступны клиенту; вычисляются сервером; запрещены из-за утечки. Такой разбор предотвращает ситуацию, когда удобство демонстрации незаметно меняет постановку ML-задачи.</w:t>
      </w:r>
    </w:p>
    <w:p>
      <w:pPr>
        <w:pStyle w:val="Heading1"/>
      </w:pPr>
      <w:r>
        <w:t xml:space="preserve">3 Request model</w:t>
      </w:r>
    </w:p>
    <w:p>
      <w:pPr>
        <w:spacing w:after="120" w:line="276"/>
        <w:jc w:val="both"/>
      </w:pPr>
      <w:r>
        <w:t xml:space="preserve">Pydantic-модель задаёт типы, диапазоны, обязательность и политику дополнительных полей. Для учебного сервиса важна строгая семантика: строка </w:t>
      </w:r>
      <w:r>
        <w:rPr>
          <w:rFonts w:ascii="Consolas" w:cs="Consolas" w:eastAsia="Consolas" w:hAnsi="Consolas"/>
          <w:color w:val="1F4E79"/>
        </w:rPr>
        <w:t xml:space="preserve">"9"</w:t>
      </w:r>
      <w:r>
        <w:t xml:space="preserve"> не должна молча становиться integer, а неизвестный ключ — игнорироваться.</w:t>
      </w:r>
    </w:p>
    <w:p>
      <w:pPr>
        <w:shd w:fill="F2F5F7" w:val="clear"/>
        <w:spacing w:after="140" w:before="80" w:line="220"/>
        <w:ind w:left="220" w:right="220"/>
      </w:pPr>
      <w:r>
        <w:rPr>
          <w:rFonts w:ascii="Consolas" w:cs="Consolas" w:eastAsia="Consolas" w:hAnsi="Consolas"/>
          <w:color w:val="203040"/>
          <w:sz w:val="18"/>
          <w:szCs w:val="18"/>
        </w:rPr>
        <w:t xml:space="preserve">class PredictionRequest(BaseModel):
    model_config = ConfigDict(extra="forbid")
    dep_hour: StrictInt = Field(ge=0, le=23)
    is_weekend: StrictInt = Field(ge=0, le=1)</w:t>
      </w:r>
    </w:p>
    <w:p>
      <w:pPr>
        <w:spacing w:after="120" w:line="276"/>
        <w:jc w:val="both"/>
      </w:pPr>
      <w:r>
        <w:t xml:space="preserve">Объясните компромисс. Строгость раньше обнаруживает несовместимость, но требует дисциплины клиента. Допустимая нормализация тоже возможна, если она явная, документированная и покрыта тестом. Опасна не конверсия сама по себе, а случайная конверсия без договорённости.</w:t>
      </w:r>
    </w:p>
    <w:p>
      <w:pPr>
        <w:spacing w:after="120" w:line="276"/>
        <w:jc w:val="both"/>
      </w:pPr>
      <w:r>
        <w:t xml:space="preserve">Покажите четыре отрицательных примера: </w:t>
      </w:r>
      <w:r>
        <w:rPr>
          <w:rFonts w:ascii="Consolas" w:cs="Consolas" w:eastAsia="Consolas" w:hAnsi="Consolas"/>
          <w:color w:val="1F4E79"/>
        </w:rPr>
        <w:t xml:space="preserve">dep_hour=24</w:t>
      </w:r>
      <w:r>
        <w:t xml:space="preserve">, отсутствие </w:t>
      </w:r>
      <w:r>
        <w:rPr>
          <w:rFonts w:ascii="Consolas" w:cs="Consolas" w:eastAsia="Consolas" w:hAnsi="Consolas"/>
          <w:color w:val="1F4E79"/>
        </w:rPr>
        <w:t xml:space="preserve">is_weekend</w:t>
      </w:r>
      <w:r>
        <w:t xml:space="preserve">, строка вместо integer и лишнее поле </w:t>
      </w:r>
      <w:r>
        <w:rPr>
          <w:rFonts w:ascii="Consolas" w:cs="Consolas" w:eastAsia="Consolas" w:hAnsi="Consolas"/>
          <w:color w:val="1F4E79"/>
        </w:rPr>
        <w:t xml:space="preserve">actual_delay</w:t>
      </w:r>
      <w:r>
        <w:t xml:space="preserve">. Студент должен до запуска назвать ожидаемый status и элемент schema, который вызовет отказ.</w:t>
      </w:r>
    </w:p>
    <w:p>
      <w:pPr>
        <w:pStyle w:val="Heading1"/>
      </w:pPr>
      <w:r>
        <w:t xml:space="preserve">4 Response model</w:t>
      </w:r>
    </w:p>
    <w:p>
      <w:pPr>
        <w:spacing w:after="120" w:line="276"/>
        <w:jc w:val="both"/>
      </w:pPr>
      <w:r>
        <w:t xml:space="preserve">Ответ также является контрактом. Если endpoint возвращает произвольный словарь, внутреннее поле может случайно стать публичным, а рефакторинг — сломать клиента.</w:t>
      </w:r>
    </w:p>
    <w:p>
      <w:pPr>
        <w:spacing w:after="120" w:line="276"/>
        <w:jc w:val="both"/>
      </w:pPr>
      <w:r>
        <w:t xml:space="preserve">Учебный response содержит вероятность, бинарное решение, threshold, версию модели и request ID. Важны инварианты: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вероятность принадлежит </w:t>
      </w:r>
      <w:r>
        <w:rPr>
          <w:rFonts w:ascii="Consolas" w:cs="Consolas" w:eastAsia="Consolas" w:hAnsi="Consolas"/>
          <w:color w:val="1F4E79"/>
        </w:rPr>
        <w:t xml:space="preserve">[0, 1]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delayed</w:t>
      </w:r>
      <w:r>
        <w:t xml:space="preserve"> вычисляется относительно возвращённого threshold;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версия относится к фактически загруженному bundle;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request ID совпадает с заголовком.</w:t>
      </w:r>
    </w:p>
    <w:p>
      <w:pPr>
        <w:spacing w:after="120" w:line="276"/>
        <w:jc w:val="both"/>
      </w:pPr>
      <w:r>
        <w:t xml:space="preserve">Версия приложения и версия модели — разные координаты. API </w:t>
      </w:r>
      <w:r>
        <w:rPr>
          <w:rFonts w:ascii="Consolas" w:cs="Consolas" w:eastAsia="Consolas" w:hAnsi="Consolas"/>
          <w:color w:val="1F4E79"/>
        </w:rPr>
        <w:t xml:space="preserve">0.3.0</w:t>
      </w:r>
      <w:r>
        <w:t xml:space="preserve"> может обслуживать model bundle </w:t>
      </w:r>
      <w:r>
        <w:rPr>
          <w:rFonts w:ascii="Consolas" w:cs="Consolas" w:eastAsia="Consolas" w:hAnsi="Consolas"/>
          <w:color w:val="1F4E79"/>
        </w:rPr>
        <w:t xml:space="preserve">0.2.0</w:t>
      </w:r>
      <w:r>
        <w:t xml:space="preserve">; manifest или response должен позволять их связать.</w:t>
      </w:r>
    </w:p>
    <w:p>
      <w:pPr>
        <w:pStyle w:val="Heading1"/>
      </w:pPr>
      <w:r>
        <w:t xml:space="preserve">5 Ошибка — тоже ответ</w:t>
      </w:r>
    </w:p>
    <w:p>
      <w:pPr>
        <w:spacing w:after="120" w:line="276"/>
        <w:jc w:val="both"/>
      </w:pPr>
      <w:r>
        <w:t xml:space="preserve">Необработанный stack trace не является API. Ошибка должна иметь стабильный код для программы, понятное сообщение и идентификатор для диагностики, но не раскрывать внутренние пути, секреты и персональные данные.</w:t>
      </w:r>
    </w:p>
    <w:tbl>
      <w:tblPr>
        <w:tblW w:type="pct" w:w="100%"/>
        <w:tblBorders>
          <w:top w:val="single" w:color="9AA7B2" w:sz="4"/>
          <w:left w:val="single" w:color="9AA7B2" w:sz="4"/>
          <w:bottom w:val="single" w:color="9AA7B2" w:sz="4"/>
          <w:right w:val="single" w:color="9AA7B2" w:sz="4"/>
          <w:insideH w:val="single" w:color="C7D0D8" w:sz="2"/>
          <w:insideV w:val="single" w:color="C7D0D8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Действие клиента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запрос выполнен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использовать результат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путь не существует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исправить URL или версию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нарушает schema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исправить данные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необработанный дефект сервера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зарегистрировать инцидент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503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сервис жив, но зависимость не готова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повторить с backoff</w:t>
            </w:r>
          </w:p>
        </w:tc>
      </w:tr>
    </w:tbl>
    <w:p>
      <w:pPr>
        <w:spacing w:after="100"/>
      </w:pPr>
    </w:p>
    <w:p>
      <w:pPr>
        <w:spacing w:after="120" w:line="276"/>
        <w:jc w:val="both"/>
      </w:pPr>
      <w:r>
        <w:t xml:space="preserve">Подчеркните: ответ 200 с полем </w:t>
      </w:r>
      <w:r>
        <w:rPr>
          <w:rFonts w:ascii="Consolas" w:cs="Consolas" w:eastAsia="Consolas" w:hAnsi="Consolas"/>
          <w:color w:val="1F4E79"/>
        </w:rPr>
        <w:t xml:space="preserve">error</w:t>
      </w:r>
      <w:r>
        <w:t xml:space="preserve"> разрушает машинную семантику. Полный текст сообщения Pydantic может меняться; стабильнее тестировать status, </w:t>
      </w:r>
      <w:r>
        <w:rPr>
          <w:rFonts w:ascii="Consolas" w:cs="Consolas" w:eastAsia="Consolas" w:hAnsi="Consolas"/>
          <w:color w:val="1F4E79"/>
        </w:rPr>
        <w:t xml:space="preserve">error_code</w:t>
      </w:r>
      <w:r>
        <w:t xml:space="preserve">, location и наличие деталей.</w:t>
      </w:r>
    </w:p>
    <w:p>
      <w:pPr>
        <w:pStyle w:val="Heading1"/>
      </w:pPr>
      <w:r>
        <w:t xml:space="preserve">6 Health и readiness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1F4E79"/>
        </w:rPr>
        <w:t xml:space="preserve">/healthz</w:t>
      </w:r>
      <w:r>
        <w:t xml:space="preserve"> отвечает на вопрос «процесс способен отвечать?». </w:t>
      </w:r>
      <w:r>
        <w:rPr>
          <w:rFonts w:ascii="Consolas" w:cs="Consolas" w:eastAsia="Consolas" w:hAnsi="Consolas"/>
          <w:color w:val="1F4E79"/>
        </w:rPr>
        <w:t xml:space="preserve">/readyz</w:t>
      </w:r>
      <w:r>
        <w:t xml:space="preserve"> — «можно ли направлять сюда рабочие запросы?». Если модель отсутствует, процесс может быть жив, но не готов.</w:t>
      </w:r>
    </w:p>
    <w:p>
      <w:pPr>
        <w:spacing w:after="120" w:line="276"/>
        <w:jc w:val="both"/>
      </w:pPr>
      <w:r>
        <w:t xml:space="preserve">Смешение проверок создаёт две крайности: тяжёлый health вызывает перезапуски при временной проблеме зависимости; поверхностный readiness отправляет запросы в экземпляр без модели. Для ЛР7: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/healthz</w:t>
      </w:r>
      <w:r>
        <w:t xml:space="preserve"> не выполняет inference;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/readyz</w:t>
      </w:r>
      <w:r>
        <w:t xml:space="preserve"> проверяет загруженный bundle;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/predict</w:t>
      </w:r>
      <w:r>
        <w:t xml:space="preserve"> возвращает согласованный 503, если модель не готова.</w:t>
      </w:r>
    </w:p>
    <w:p>
      <w:pPr>
        <w:pStyle w:val="Heading1"/>
      </w:pPr>
      <w:r>
        <w:t xml:space="preserve">7 Lifespan модели</w:t>
      </w:r>
    </w:p>
    <w:p>
      <w:pPr>
        <w:spacing w:after="120" w:line="276"/>
        <w:jc w:val="both"/>
      </w:pPr>
      <w:r>
        <w:t xml:space="preserve">Модель загружается один раз при старте приложения. Загрузка на каждый request увеличивает latency, создаёт файловую гонку и затрудняет диагностику. Lifespan задаёт переход состояния «инициализация → готов → завершение».</w:t>
      </w:r>
    </w:p>
    <w:p>
      <w:pPr>
        <w:spacing w:after="120" w:line="276"/>
        <w:jc w:val="both"/>
      </w:pPr>
      <w:r>
        <w:t xml:space="preserve">Различайте отсутствующий и повреждённый файл. Отсутствие модели может дать наблюдаемый режим not ready, если он предусмотрен эксплуатацией. Повреждённый bundle обычно должен остановить startup: принимать трафик с частично инициализированным состоянием опаснее явного отказа.</w:t>
      </w:r>
    </w:p>
    <w:p>
      <w:pPr>
        <w:pStyle w:val="Heading1"/>
      </w:pPr>
      <w:r>
        <w:t xml:space="preserve">8 OpenAPI как исполняемая спецификация</w:t>
      </w:r>
    </w:p>
    <w:p>
      <w:pPr>
        <w:spacing w:after="120" w:line="276"/>
        <w:jc w:val="both"/>
      </w:pPr>
      <w:r>
        <w:t xml:space="preserve">FastAPI строит OpenAPI из route declarations и моделей. Это полезно только тогда, когда схема проверяется. Swagger UI — удобный клиент для исследования, но скриншот интерфейса не фиксирует весь контракт.</w:t>
      </w:r>
    </w:p>
    <w:p>
      <w:pPr>
        <w:spacing w:after="120" w:line="276"/>
        <w:jc w:val="both"/>
      </w:pPr>
      <w:r>
        <w:t xml:space="preserve">Предложите открыть </w:t>
      </w:r>
      <w:r>
        <w:rPr>
          <w:rFonts w:ascii="Consolas" w:cs="Consolas" w:eastAsia="Consolas" w:hAnsi="Consolas"/>
          <w:color w:val="1F4E79"/>
        </w:rPr>
        <w:t xml:space="preserve">openapi.json</w:t>
      </w:r>
      <w:r>
        <w:t xml:space="preserve"> и найти: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info.version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POST </w:t>
      </w:r>
      <w:r>
        <w:rPr>
          <w:rFonts w:ascii="Consolas" w:cs="Consolas" w:eastAsia="Consolas" w:hAnsi="Consolas"/>
          <w:color w:val="1F4E79"/>
        </w:rPr>
        <w:t xml:space="preserve">/predict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ссылку на </w:t>
      </w:r>
      <w:r>
        <w:rPr>
          <w:rFonts w:ascii="Consolas" w:cs="Consolas" w:eastAsia="Consolas" w:hAnsi="Consolas"/>
          <w:color w:val="1F4E79"/>
        </w:rPr>
        <w:t xml:space="preserve">PredictionRequest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обязательные поля и запрет дополнительных;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schemas ответов 200, 422 и 503;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rPr>
          <w:rFonts w:ascii="Consolas" w:cs="Consolas" w:eastAsia="Consolas" w:hAnsi="Consolas"/>
          <w:color w:val="1F4E79"/>
        </w:rPr>
        <w:t xml:space="preserve">PredictionResponse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ErrorResponse</w:t>
      </w:r>
      <w:r>
        <w:t xml:space="preserve">.</w:t>
      </w:r>
    </w:p>
    <w:p>
      <w:pPr>
        <w:spacing w:after="120" w:line="276"/>
        <w:jc w:val="both"/>
      </w:pPr>
      <w:r>
        <w:t xml:space="preserve">Схема сохраняется как build evidence и генерируется из принимаемого commit. Ручное редактирование JSON уничтожает прослеживаемость.</w:t>
      </w:r>
    </w:p>
    <w:p>
      <w:pPr>
        <w:pStyle w:val="Heading1"/>
      </w:pPr>
      <w:r>
        <w:t xml:space="preserve">9 Совместимость</w:t>
      </w:r>
    </w:p>
    <w:p>
      <w:pPr>
        <w:spacing w:after="120" w:line="276"/>
        <w:jc w:val="both"/>
      </w:pPr>
      <w:r>
        <w:t xml:space="preserve">Сервер запускается — не значит, что изменение совместимо. Удаление поля, новое обязательное поле request, сужение диапазона и смена смысла существующего поля ломают часть клиентов.</w:t>
      </w:r>
    </w:p>
    <w:p>
      <w:pPr>
        <w:spacing w:after="120" w:line="276"/>
        <w:jc w:val="both"/>
      </w:pPr>
      <w:r>
        <w:t xml:space="preserve">Добавление необязательного поля ответа обычно совместимо, если клиенты игнорируют неизвестные ключи. Однако строгий клиент может упасть, поэтому фактические потребители важнее формальной таблицы.</w:t>
      </w:r>
    </w:p>
    <w:p>
      <w:pPr>
        <w:spacing w:after="120" w:line="276"/>
        <w:jc w:val="both"/>
      </w:pPr>
      <w:r>
        <w:t xml:space="preserve">Для несовместимого изменения нужны новая версия API, миграционное окно или параллельная поддержка. Версионирование без описания перехода лишь присваивает имя поломке.</w:t>
      </w:r>
    </w:p>
    <w:p>
      <w:pPr>
        <w:pStyle w:val="Heading1"/>
      </w:pPr>
      <w:r>
        <w:t xml:space="preserve">10 Request ID</w:t>
      </w:r>
    </w:p>
    <w:p>
      <w:pPr>
        <w:spacing w:after="120" w:line="276"/>
        <w:jc w:val="both"/>
      </w:pPr>
      <w:r>
        <w:t xml:space="preserve">Request ID связывает клиентский симптом, response, лог и метрику. Middleware принимает безопасный идентификатор ограниченной длины или генерирует UUID и возвращает значение в header. Для JSON-ответов учебного API оно также включается в body.</w:t>
      </w:r>
    </w:p>
    <w:p>
      <w:pPr>
        <w:spacing w:after="120" w:line="276"/>
        <w:jc w:val="both"/>
      </w:pPr>
      <w:r>
        <w:t xml:space="preserve">Request ID не должен содержать email, token или payload. Он помогает корреляции, но не заменяет trace context. В распределённой системе дополнительно применяют стандартные trace/span identifiers.</w:t>
      </w:r>
    </w:p>
    <w:p>
      <w:pPr>
        <w:spacing w:after="120" w:line="276"/>
        <w:jc w:val="both"/>
      </w:pPr>
      <w:r>
        <w:t xml:space="preserve">Проведите демонстрацию: отправьте </w:t>
      </w:r>
      <w:r>
        <w:rPr>
          <w:rFonts w:ascii="Consolas" w:cs="Consolas" w:eastAsia="Consolas" w:hAnsi="Consolas"/>
          <w:color w:val="1F4E79"/>
        </w:rPr>
        <w:t xml:space="preserve">X-Request-ID: lecture-case-1</w:t>
      </w:r>
      <w:r>
        <w:t xml:space="preserve">, получите 422 и найдите то же значение в заголовке и теле. Затем повторите без header и покажите сгенерированный UUID.</w:t>
      </w:r>
    </w:p>
    <w:p>
      <w:pPr>
        <w:pStyle w:val="Heading1"/>
      </w:pPr>
      <w:r>
        <w:t xml:space="preserve">11 Contract tests</w:t>
      </w:r>
    </w:p>
    <w:p>
      <w:pPr>
        <w:spacing w:after="120" w:line="276"/>
        <w:jc w:val="both"/>
      </w:pPr>
      <w:r>
        <w:t xml:space="preserve">Contract test проверяет наблюдаемое поведение границы. Минимальный набор включает: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валидный request и полный response;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граничные и ошибочные входы;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not-ready mode;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согласованность request ID;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структуру OpenAPI;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реальный HTTP-smoke внутри container.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1F4E79"/>
        </w:rPr>
        <w:t xml:space="preserve">TestClient</w:t>
      </w:r>
      <w:r>
        <w:t xml:space="preserve"> даёт быстрый и детерминированный контур, но не обнаруживает ошибку команды запуска, порта или container network. Поэтому unit contract tests дополняются HTTP-smoke после Compose.</w:t>
      </w:r>
    </w:p>
    <w:p>
      <w:pPr>
        <w:spacing w:after="120" w:line="276"/>
        <w:jc w:val="both"/>
      </w:pPr>
      <w:r>
        <w:t xml:space="preserve">Избегайте хрупких проверок полного текста ошибок и порядка ключей JSON. Проверяйте семантические поля и инварианты.</w:t>
      </w:r>
    </w:p>
    <w:p>
      <w:pPr>
        <w:pStyle w:val="Heading1"/>
      </w:pPr>
      <w:r>
        <w:t xml:space="preserve">12 Безопасность и эксплуатационные ограничения</w:t>
      </w:r>
    </w:p>
    <w:p>
      <w:pPr>
        <w:spacing w:after="120" w:line="276"/>
        <w:jc w:val="both"/>
      </w:pPr>
      <w:r>
        <w:t xml:space="preserve">Учебный сервис не включает полноценную аутентификацию, rate limiting и TLS termination. Это осознанное ограничение, а не рекомендация для production.</w:t>
      </w:r>
    </w:p>
    <w:p>
      <w:pPr>
        <w:spacing w:after="120" w:line="276"/>
        <w:jc w:val="both"/>
      </w:pPr>
      <w:r>
        <w:t xml:space="preserve">Даже в лаборатории необходимо: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не логировать полный payload по умолчанию;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не возвращать stack trace;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ограничивать размеры и типы полей;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не принимать признаки будущего;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не включать секреты в image и OpenAPI examples;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запускать container от non-root пользователя.</w:t>
      </w:r>
    </w:p>
    <w:p>
      <w:pPr>
        <w:pStyle w:val="Heading1"/>
      </w:pPr>
      <w:r>
        <w:t xml:space="preserve">13 Демонстрационный сценарий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Запустить tests и экспортировать OpenAPI.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Запустить Compose и проверить </w:t>
      </w:r>
      <w:r>
        <w:rPr>
          <w:rFonts w:ascii="Consolas" w:cs="Consolas" w:eastAsia="Consolas" w:hAnsi="Consolas"/>
          <w:color w:val="1F4E79"/>
        </w:rPr>
        <w:t xml:space="preserve">/healthz</w:t>
      </w:r>
      <w:r>
        <w:t xml:space="preserve"> и </w:t>
      </w:r>
      <w:r>
        <w:rPr>
          <w:rFonts w:ascii="Consolas" w:cs="Consolas" w:eastAsia="Consolas" w:hAnsi="Consolas"/>
          <w:color w:val="1F4E79"/>
        </w:rPr>
        <w:t xml:space="preserve">/readyz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Выполнить валидный </w:t>
      </w:r>
      <w:r>
        <w:rPr>
          <w:rFonts w:ascii="Consolas" w:cs="Consolas" w:eastAsia="Consolas" w:hAnsi="Consolas"/>
          <w:color w:val="1F4E79"/>
        </w:rPr>
        <w:t xml:space="preserve">/predict</w:t>
      </w:r>
      <w:r>
        <w:t xml:space="preserve"> с заданным request ID.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Передать строку вместо integer и объяснить 422.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Передать неизвестное поле и связать отказ с </w:t>
      </w:r>
      <w:r>
        <w:rPr>
          <w:rFonts w:ascii="Consolas" w:cs="Consolas" w:eastAsia="Consolas" w:hAnsi="Consolas"/>
          <w:color w:val="1F4E79"/>
        </w:rPr>
        <w:t xml:space="preserve">additionalProperties: false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Запустить HTTP contract-smoke и открыть JSON-отчёт.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Временно убрать model bundle и сопоставить health=200, readiness=503.</w:t>
      </w:r>
    </w:p>
    <w:p>
      <w:pPr>
        <w:spacing w:after="120" w:line="276"/>
        <w:jc w:val="both"/>
      </w:pPr>
      <w:r>
        <w:t xml:space="preserve">Перед каждым действием аудитория прогнозирует результат. Это превращает показ команд в проверку ментальной модели.</w:t>
      </w:r>
    </w:p>
    <w:p>
      <w:pPr>
        <w:pStyle w:val="Heading1"/>
      </w:pPr>
      <w:r>
        <w:t xml:space="preserve">14 Типичные ошибки</w:t>
      </w:r>
    </w:p>
    <w:tbl>
      <w:tblPr>
        <w:tblW w:type="pct" w:w="100%"/>
        <w:tblBorders>
          <w:top w:val="single" w:color="9AA7B2" w:sz="4"/>
          <w:left w:val="single" w:color="9AA7B2" w:sz="4"/>
          <w:bottom w:val="single" w:color="9AA7B2" w:sz="4"/>
          <w:right w:val="single" w:color="9AA7B2" w:sz="4"/>
          <w:insideH w:val="single" w:color="C7D0D8" w:sz="2"/>
          <w:insideV w:val="single" w:color="C7D0D8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Ошибка</w:t>
            </w:r>
          </w:p>
        </w:tc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Почему опасна</w:t>
            </w:r>
          </w:p>
        </w:tc>
        <w:tc>
          <w:tcPr>
            <w:tcW w:type="pct" w:w="33%"/>
            <w:shd w:fill="D9EAF7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/>
                <w:bCs/>
                <w:sz w:val="19"/>
                <w:szCs w:val="19"/>
              </w:rPr>
              <w:t xml:space="preserve">Как обнаружить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4E79"/>
                <w:sz w:val="19"/>
                <w:szCs w:val="19"/>
              </w:rPr>
              <w:t xml:space="preserve">dict</w:t>
            </w:r>
            <w:r>
              <w:rPr>
                <w:b w:val="false"/>
                <w:bCs w:val="false"/>
                <w:sz w:val="19"/>
                <w:szCs w:val="19"/>
              </w:rPr>
              <w:t xml:space="preserve"> вместо request model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контракт не ограничен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schema и unknown-field test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неявное приведение типов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дефект клиента скрывается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wrong-type test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модель загружается на request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нестабильная latency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профилирование и review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health равен readiness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трафик идёт в неготовый pod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тест без модели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произвольный error JSON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клиент не может ветвиться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response-schema test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ручной OpenAPI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схема расходится с кодом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экспорт в CI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общий скриншот команды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нет индивидуального доказательства</w:t>
            </w:r>
          </w:p>
        </w:tc>
        <w:tc>
          <w:tcPr>
            <w:tcW w:type="pct" w:w="33%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30"/>
            </w:pPr>
            <w:r>
              <w:rPr>
                <w:b w:val="false"/>
                <w:bCs w:val="false"/>
                <w:sz w:val="19"/>
                <w:szCs w:val="19"/>
              </w:rPr>
              <w:t xml:space="preserve">личный negative case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15 Вопросы аудитории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Почему дополнительное поле request может быть опасным, даже если код его игнорирует?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В каком случае 503 корректнее 500?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Почему </w:t>
      </w:r>
      <w:r>
        <w:rPr>
          <w:rFonts w:ascii="Consolas" w:cs="Consolas" w:eastAsia="Consolas" w:hAnsi="Consolas"/>
          <w:color w:val="1F4E79"/>
        </w:rPr>
        <w:t xml:space="preserve">/docs</w:t>
      </w:r>
      <w:r>
        <w:t xml:space="preserve"> не заменяет сохранённый OpenAPI JSON?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Что произойдёт со строгим клиентом после добавления поля ответа?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Где должна загружаться модель и почему?</w:t>
      </w:r>
    </w:p>
    <w:p>
      <w:pPr>
        <w:pStyle w:val="ListParagraph"/>
        <w:numPr>
          <w:ilvl w:val="0"/>
          <w:numId w:val="3"/>
        </w:numPr>
        <w:spacing w:after="70" w:line="250"/>
      </w:pPr>
      <w:r>
        <w:t xml:space="preserve">Какие данные нельзя включать в request ID?</w:t>
      </w:r>
    </w:p>
    <w:p>
      <w:pPr>
        <w:pStyle w:val="Heading1"/>
      </w:pPr>
      <w:r>
        <w:t xml:space="preserve">16 Связь с ЛР7 и ЛР8</w:t>
      </w:r>
    </w:p>
    <w:p>
      <w:pPr>
        <w:spacing w:after="120" w:line="276"/>
        <w:jc w:val="both"/>
      </w:pPr>
      <w:r>
        <w:t xml:space="preserve">В ЛР7 команда реализует контракт, а каждый участник проводит собственный defect injection и защиту. В ЛР8 экспорт OpenAPI и contract tests становятся обязательными quality gates. Тем самым договор переходит из текста в правило слияния: несовместимое изменение не попадает в </w:t>
      </w:r>
      <w:r>
        <w:rPr>
          <w:rFonts w:ascii="Consolas" w:cs="Consolas" w:eastAsia="Consolas" w:hAnsi="Consolas"/>
          <w:color w:val="1F4E79"/>
        </w:rPr>
        <w:t xml:space="preserve">main</w:t>
      </w:r>
      <w:r>
        <w:t xml:space="preserve"> без видимого красного check.</w:t>
      </w:r>
    </w:p>
    <w:p>
      <w:pPr>
        <w:pStyle w:val="Heading1"/>
      </w:pPr>
      <w:r>
        <w:t xml:space="preserve">17 Итог</w:t>
      </w:r>
    </w:p>
    <w:p>
      <w:pPr>
        <w:spacing w:after="120" w:line="276"/>
        <w:jc w:val="both"/>
      </w:pPr>
      <w:r>
        <w:t xml:space="preserve">Надёжный inference API — не сетевой фасад над </w:t>
      </w:r>
      <w:r>
        <w:rPr>
          <w:rFonts w:ascii="Consolas" w:cs="Consolas" w:eastAsia="Consolas" w:hAnsi="Consolas"/>
          <w:color w:val="1F4E79"/>
        </w:rPr>
        <w:t xml:space="preserve">predict</w:t>
      </w:r>
      <w:r>
        <w:t xml:space="preserve">. Это проверяемый договор о доступных входах, ответах, ошибках, готовности, версиях и диагностике. Сильный контракт уменьшает число скрытых предположений между владельцами данных, модели, сервиса и клиента.</w:t>
      </w:r>
    </w:p>
    <w:p>
      <w:pPr>
        <w:pStyle w:val="Heading1"/>
      </w:pPr>
      <w:r>
        <w:t xml:space="preserve">18 Официальные источники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FastAPI request body: https://fastapi.tiangolo.com/tutorial/body/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FastAPI response models: https://fastapi.tiangolo.com/tutorial/response-model/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FastAPI error handling: https://fastapi.tiangolo.com/tutorial/handling-errors/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FastAPI lifespan events: https://fastapi.tiangolo.com/advanced/events/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FastAPI OpenAPI metadata: https://fastapi.tiangolo.com/tutorial/metadata/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Pydantic models: https://docs.pydantic.dev/latest/concepts/models/</w:t>
      </w:r>
    </w:p>
    <w:p>
      <w:pPr>
        <w:pStyle w:val="ListParagraph"/>
        <w:numPr>
          <w:ilvl w:val="0"/>
          <w:numId w:val="2"/>
        </w:numPr>
        <w:spacing w:after="70" w:line="250"/>
      </w:pPr>
      <w:r>
        <w:t xml:space="preserve">OpenAPI Specification: https://spec.openapis.org/oas/latest.html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788"/>
        <w:sz w:val="18"/>
        <w:szCs w:val="18"/>
      </w:rPr>
      <w:t xml:space="preserve">Лекция 7 · MLOps · </w:t>
    </w:r>
    <w:r>
      <w:rPr>
        <w:color w:val="6677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A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60" w:before="0"/>
      <w:jc w:val="left"/>
    </w:pPr>
    <w:rPr>
      <w:rFonts w:ascii="Arial" w:cs="Arial" w:eastAsia="Arial" w:hAnsi="Arial"/>
      <w:b/>
      <w:bCs/>
      <w:color w:val="153A5B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40" w:before="300"/>
    </w:pPr>
    <w:rPr>
      <w:rFonts w:ascii="Arial" w:cs="Arial" w:eastAsia="Arial" w:hAnsi="Arial"/>
      <w:b/>
      <w:bCs/>
      <w:color w:val="153A5B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</w:pPr>
    <w:rPr>
      <w:rFonts w:ascii="Arial" w:cs="Arial" w:eastAsia="Arial" w:hAnsi="Arial"/>
      <w:b/>
      <w:bCs/>
      <w:color w:val="2F66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7 · MLOps</dc:title>
  <dc:creator>Курс MLOps 2026–2027</dc:creator>
  <dc:description>Актуализированные методические материалы курса MLOps</dc:description>
  <cp:lastModifiedBy>Un-named</cp:lastModifiedBy>
  <cp:revision>1</cp:revision>
  <dcterms:created xsi:type="dcterms:W3CDTF">2026-10-19T19:45:36.057Z</dcterms:created>
  <dcterms:modified xsi:type="dcterms:W3CDTF">2026-10-19T19:45:36.059Z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