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left"/>
      </w:pPr>
      <w:r>
        <w:rPr>
          <w:rFonts w:ascii="Calibri" w:cs="Calibri" w:eastAsia="Calibri" w:hAnsi="Calibri"/>
          <w:b/>
          <w:bCs/>
          <w:color w:val="0D7377"/>
          <w:sz w:val="20"/>
          <w:szCs w:val="20"/>
        </w:rPr>
        <w:t xml:space="preserve">IMAGE MODEL</w:t>
      </w:r>
    </w:p>
    <w:p>
      <w:pPr>
        <w:pStyle w:val="Heading1"/>
        <w:spacing w:before="0" w:after="80"/>
        <w:jc w:val="left"/>
      </w:pPr>
      <w:r>
        <w:rPr>
          <w:rFonts w:ascii="Calibri" w:cs="Calibri" w:eastAsia="Calibri" w:hAnsi="Calibri"/>
          <w:b/>
          <w:bCs/>
          <w:color w:val="1B2A4A"/>
          <w:sz w:val="48"/>
          <w:szCs w:val="48"/>
        </w:rPr>
        <w:t xml:space="preserve">CT Scan Stroke Detection</w:t>
      </w:r>
    </w:p>
    <w:p>
      <w:pPr>
        <w:spacing w:before="0" w:after="240"/>
        <w:jc w:val="left"/>
      </w:pPr>
      <w:r>
        <w:rPr>
          <w:rFonts w:ascii="Calibri" w:cs="Calibri" w:eastAsia="Calibri" w:hAnsi="Calibri"/>
          <w:i/>
          <w:iCs/>
          <w:color w:val="0D7377"/>
          <w:sz w:val="24"/>
          <w:szCs w:val="24"/>
        </w:rPr>
        <w:t xml:space="preserve">Deep Learning with EfficientNetB0 and Transfer Learning</w:t>
      </w:r>
    </w:p>
    <w:p>
      <w:pPr>
        <w:pBdr>
          <w:bottom w:val="single" w:color="0D7377" w:sz="16" w:space="1"/>
        </w:pBdr>
        <w:spacing w:before="0" w:after="0"/>
      </w:pPr>
      <w:r>
        <w:t xml:space="preserve"/>
      </w:r>
    </w:p>
    <w:p>
      <w:pPr>
        <w:pBdr>
          <w:bottom w:val="single" w:color="D4A843" w:sz="4" w:space="4"/>
        </w:pBdr>
        <w:spacing w:before="0" w:after="400"/>
      </w:pPr>
      <w:r>
        <w:t xml:space="preserve"/>
      </w:r>
    </w:p>
    <w:p>
      <w:pPr>
        <w:pStyle w:val="Heading2"/>
        <w:spacing w:before="360" w:after="160"/>
      </w:pPr>
      <w:r>
        <w:rPr>
          <w:rFonts w:ascii="Calibri" w:cs="Calibri" w:eastAsia="Calibri" w:hAnsi="Calibri"/>
          <w:b/>
          <w:bCs/>
          <w:color w:val="D4A843"/>
          <w:sz w:val="30"/>
          <w:szCs w:val="30"/>
        </w:rPr>
        <w:t xml:space="preserve">1  </w:t>
      </w:r>
      <w:r>
        <w:rPr>
          <w:rFonts w:ascii="Calibri" w:cs="Calibri" w:eastAsia="Calibri" w:hAnsi="Calibri"/>
          <w:b/>
          <w:bCs/>
          <w:color w:val="1B2A4A"/>
          <w:sz w:val="30"/>
          <w:szCs w:val="30"/>
        </w:rPr>
        <w:t xml:space="preserve">CT Scans in Stroke Diagnosis</w:t>
      </w:r>
    </w:p>
    <w:p>
      <w:pPr>
        <w:pBdr>
          <w:bottom w:val="single" w:color="0D7377" w:sz="4" w:space="1"/>
        </w:pBdr>
        <w:spacing w:before="0" w:after="0"/>
      </w:pPr>
      <w:r>
        <w:t xml:space="preserve"/>
      </w:r>
    </w:p>
    <w:p>
      <w:pPr>
        <w:spacing w:before="0" w:after="160"/>
      </w:pPr>
      <w:r>
        <w:t xml:space="preserve"/>
      </w:r>
    </w:p>
    <w:p>
      <w:pPr>
        <w:spacing w:before="0" w:after="180"/>
        <w:jc w:val="both"/>
      </w:pPr>
      <w:r>
        <w:rPr>
          <w:rFonts w:ascii="Calibri" w:cs="Calibri" w:eastAsia="Calibri" w:hAnsi="Calibri"/>
          <w:color w:val="2D3748"/>
          <w:sz w:val="23"/>
          <w:szCs w:val="23"/>
        </w:rPr>
        <w:t xml:space="preserve">Computed Tomography (CT) scanning is the primary and most widely used neuroimaging modality for the emergency diagnosis of stroke. A CT scanner uses X-ray beams rotated around the patient to generate cross-sectional images of the brain, providing detailed visualization of brain tissue, blood vessels, and any areas of hemorrhage or ischemic damage.</w:t>
      </w:r>
    </w:p>
    <w:p>
      <w:pPr>
        <w:spacing w:before="0" w:after="180"/>
        <w:jc w:val="both"/>
      </w:pPr>
      <w:r>
        <w:rPr>
          <w:rFonts w:ascii="Calibri" w:cs="Calibri" w:eastAsia="Calibri" w:hAnsi="Calibri"/>
          <w:color w:val="2D3748"/>
          <w:sz w:val="23"/>
          <w:szCs w:val="23"/>
        </w:rPr>
        <w:t xml:space="preserve">In clinical practice, CT scans are performed within minutes of a suspected stroke event. The images allow physicians to distinguish between two fundamentally different stroke types — ischemic stroke, caused by a blocked blood vessel, and hemorrhagic stroke, caused by a ruptured vessel — which require entirely different treatment protocols. Misclassification between the two can be life-threatening.</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8646"/>
      </w:tblGrid>
      <w:tr>
        <w:tc>
          <w:tcPr>
            <w:tcW w:type="dxa" w:w="380"/>
            <w:tcBorders>
              <w:top w:val="none"/>
              <w:left w:val="none"/>
              <w:bottom w:val="none"/>
              <w:right w:val="none"/>
            </w:tcBorders>
            <w:shd w:fill="0D7377" w:val="clear"/>
          </w:tcPr>
          <w:p>
            <w:r>
              <w:t xml:space="preserve"/>
            </w:r>
          </w:p>
        </w:tc>
        <w:tc>
          <w:tcPr>
            <w:tcW w:type="dxa" w:w="8646"/>
            <w:tcBorders>
              <w:top w:val="none"/>
              <w:left w:val="none"/>
              <w:bottom w:val="none"/>
              <w:right w:val="none"/>
            </w:tcBorders>
            <w:shd w:fill="E8F4F8" w:val="clear"/>
            <w:tcMar>
              <w:top w:type="dxa" w:w="120"/>
              <w:left w:type="dxa" w:w="200"/>
              <w:bottom w:type="dxa" w:w="120"/>
              <w:right w:type="dxa" w:w="120"/>
            </w:tcMar>
          </w:tcPr>
          <w:p>
            <w:pPr>
              <w:spacing w:before="0" w:after="60"/>
            </w:pPr>
            <w:r>
              <w:rPr>
                <w:rFonts w:ascii="Calibri" w:cs="Calibri" w:eastAsia="Calibri" w:hAnsi="Calibri"/>
                <w:b/>
                <w:bCs/>
                <w:color w:val="0D7377"/>
                <w:sz w:val="21"/>
                <w:szCs w:val="21"/>
              </w:rPr>
              <w:t xml:space="preserve">Clinical Context</w:t>
            </w:r>
          </w:p>
          <w:p>
            <w:pPr>
              <w:spacing w:before="0" w:after="0"/>
            </w:pPr>
            <w:r>
              <w:rPr>
                <w:rFonts w:ascii="Calibri" w:cs="Calibri" w:eastAsia="Calibri" w:hAnsi="Calibri"/>
                <w:i/>
                <w:iCs/>
                <w:color w:val="1B2A4A"/>
                <w:sz w:val="22"/>
                <w:szCs w:val="22"/>
              </w:rPr>
              <w:t xml:space="preserve">A non-contrast CT scan of the brain is the standard first-line investigation for all suspected stroke patients. It is fast, widely available, and highly sensitive for detecting hemorrhage — making it the cornerstone of acute stroke management worldwide.</w:t>
            </w:r>
          </w:p>
        </w:tc>
      </w:tr>
    </w:tbl>
    <w:p>
      <w:pPr>
        <w:spacing w:before="0" w:after="200"/>
      </w:pPr>
      <w:r>
        <w:t xml:space="preserve"/>
      </w:r>
    </w:p>
    <w:p>
      <w:pPr>
        <w:spacing w:before="0" w:after="180"/>
        <w:jc w:val="both"/>
      </w:pPr>
      <w:r>
        <w:rPr>
          <w:rFonts w:ascii="Calibri" w:cs="Calibri" w:eastAsia="Calibri" w:hAnsi="Calibri"/>
          <w:color w:val="2D3748"/>
          <w:sz w:val="23"/>
          <w:szCs w:val="23"/>
        </w:rPr>
        <w:t xml:space="preserve">CT scans produce grayscale images where different tissue densities appear at different brightness levels (measured in Hounsfield Units). Fresh blood appears bright white (hyperdense), while ischemic tissue appears darker than normal brain parenchyma (hypodense). These visual signatures are the features the deep learning model learns to recognize.</w:t>
      </w:r>
    </w:p>
    <w:p>
      <w:pPr>
        <w:spacing w:before="0" w:after="200"/>
        <w:jc w:val="both"/>
      </w:pPr>
      <w:r>
        <w:rPr>
          <w:rFonts w:ascii="Calibri" w:cs="Calibri" w:eastAsia="Calibri" w:hAnsi="Calibri"/>
          <w:color w:val="2D3748"/>
          <w:sz w:val="23"/>
          <w:szCs w:val="23"/>
        </w:rPr>
        <w:t xml:space="preserve">Traditional manual interpretation of CT scans requires a trained neuroradiologist and can take 20–45 minutes. The Image Model developed in this project analyzes a CT scan in under one second, providing an automated preliminary assessment that supports — not replaces — clinical decision-making.</w:t>
      </w:r>
    </w:p>
    <w:p>
      <w:pPr>
        <w:pStyle w:val="Heading2"/>
        <w:spacing w:before="360" w:after="160"/>
      </w:pPr>
      <w:r>
        <w:rPr>
          <w:rFonts w:ascii="Calibri" w:cs="Calibri" w:eastAsia="Calibri" w:hAnsi="Calibri"/>
          <w:b/>
          <w:bCs/>
          <w:color w:val="D4A843"/>
          <w:sz w:val="30"/>
          <w:szCs w:val="30"/>
        </w:rPr>
        <w:t xml:space="preserve">2  </w:t>
      </w:r>
      <w:r>
        <w:rPr>
          <w:rFonts w:ascii="Calibri" w:cs="Calibri" w:eastAsia="Calibri" w:hAnsi="Calibri"/>
          <w:b/>
          <w:bCs/>
          <w:color w:val="1B2A4A"/>
          <w:sz w:val="30"/>
          <w:szCs w:val="30"/>
        </w:rPr>
        <w:t xml:space="preserve">CT Scan Dataset</w:t>
      </w:r>
    </w:p>
    <w:p>
      <w:pPr>
        <w:pBdr>
          <w:bottom w:val="single" w:color="0D7377" w:sz="4" w:space="1"/>
        </w:pBdr>
        <w:spacing w:before="0" w:after="0"/>
      </w:pPr>
      <w:r>
        <w:t xml:space="preserve"/>
      </w:r>
    </w:p>
    <w:p>
      <w:pPr>
        <w:spacing w:before="0" w:after="160"/>
      </w:pPr>
      <w:r>
        <w:t xml:space="preserve"/>
      </w:r>
    </w:p>
    <w:p>
      <w:pPr>
        <w:spacing w:before="0" w:after="180"/>
        <w:jc w:val="both"/>
      </w:pPr>
      <w:r>
        <w:rPr>
          <w:rFonts w:ascii="Calibri" w:cs="Calibri" w:eastAsia="Calibri" w:hAnsi="Calibri"/>
          <w:color w:val="2D3748"/>
          <w:sz w:val="23"/>
          <w:szCs w:val="23"/>
        </w:rPr>
        <w:t xml:space="preserve">The image dataset used in this project consists of brain CT scan images sourced from the Brain Stroke CT Image Dataset published on Kaggle (afridirahman, 2021). The dataset contains CT scans labeled into two categories: Normal scans showing no evidence of stroke, and Stroke scans exhibiting visible ischemic or hemorrhagic lesions.</w:t>
      </w:r>
    </w:p>
    <w:p>
      <w:pPr>
        <w:spacing w:before="0" w:after="120"/>
      </w:pPr>
      <w:r>
        <w:t xml:space="preserve"/>
      </w:r>
    </w:p>
    <w:p>
      <w:pPr>
        <w:pStyle w:val="Heading3"/>
        <w:spacing w:before="280" w:after="100"/>
      </w:pPr>
      <w:r>
        <w:rPr>
          <w:rFonts w:ascii="Calibri" w:cs="Calibri" w:eastAsia="Calibri" w:hAnsi="Calibri"/>
          <w:b/>
          <w:bCs/>
          <w:color w:val="0D7377"/>
          <w:sz w:val="26"/>
          <w:szCs w:val="26"/>
        </w:rPr>
        <w:t xml:space="preserve">2.1  </w:t>
      </w:r>
      <w:r>
        <w:rPr>
          <w:rFonts w:ascii="Calibri" w:cs="Calibri" w:eastAsia="Calibri" w:hAnsi="Calibri"/>
          <w:b/>
          <w:bCs/>
          <w:color w:val="1B2A4A"/>
          <w:sz w:val="26"/>
          <w:szCs w:val="26"/>
        </w:rPr>
        <w:t xml:space="preserve">Dataset Composition</w:t>
      </w:r>
    </w:p>
    <w:p>
      <w:pPr>
        <w:pStyle w:val="ListParagraph"/>
        <w:numPr>
          <w:ilvl w:val="0"/>
          <w:numId w:val="2"/>
        </w:numPr>
        <w:spacing w:before="80" w:after="100"/>
      </w:pPr>
      <w:r>
        <w:rPr>
          <w:rFonts w:ascii="Calibri" w:cs="Calibri" w:eastAsia="Calibri" w:hAnsi="Calibri"/>
          <w:b/>
          <w:bCs/>
          <w:color w:val="0D7377"/>
          <w:sz w:val="23"/>
          <w:szCs w:val="23"/>
        </w:rPr>
        <w:t xml:space="preserve">Source: </w:t>
      </w:r>
      <w:r>
        <w:rPr>
          <w:rFonts w:ascii="Calibri" w:cs="Calibri" w:eastAsia="Calibri" w:hAnsi="Calibri"/>
          <w:color w:val="2D3748"/>
          <w:sz w:val="23"/>
          <w:szCs w:val="23"/>
        </w:rPr>
        <w:t xml:space="preserve">Kaggle — Brain Stroke CT Image Dataset (afridirahman)</w:t>
      </w:r>
    </w:p>
    <w:p>
      <w:pPr>
        <w:pStyle w:val="ListParagraph"/>
        <w:numPr>
          <w:ilvl w:val="0"/>
          <w:numId w:val="2"/>
        </w:numPr>
        <w:spacing w:before="80" w:after="100"/>
      </w:pPr>
      <w:r>
        <w:rPr>
          <w:rFonts w:ascii="Calibri" w:cs="Calibri" w:eastAsia="Calibri" w:hAnsi="Calibri"/>
          <w:b/>
          <w:bCs/>
          <w:color w:val="0D7377"/>
          <w:sz w:val="23"/>
          <w:szCs w:val="23"/>
        </w:rPr>
        <w:t xml:space="preserve">Original Size: </w:t>
      </w:r>
      <w:r>
        <w:rPr>
          <w:rFonts w:ascii="Calibri" w:cs="Calibri" w:eastAsia="Calibri" w:hAnsi="Calibri"/>
          <w:color w:val="2D3748"/>
          <w:sz w:val="23"/>
          <w:szCs w:val="23"/>
        </w:rPr>
        <w:t xml:space="preserve">Approximately 2,500 CT scan images</w:t>
      </w:r>
    </w:p>
    <w:p>
      <w:pPr>
        <w:pStyle w:val="ListParagraph"/>
        <w:numPr>
          <w:ilvl w:val="0"/>
          <w:numId w:val="2"/>
        </w:numPr>
        <w:spacing w:before="80" w:after="100"/>
      </w:pPr>
      <w:r>
        <w:rPr>
          <w:rFonts w:ascii="Calibri" w:cs="Calibri" w:eastAsia="Calibri" w:hAnsi="Calibri"/>
          <w:b/>
          <w:bCs/>
          <w:color w:val="0D7377"/>
          <w:sz w:val="23"/>
          <w:szCs w:val="23"/>
        </w:rPr>
        <w:t xml:space="preserve">Classes: </w:t>
      </w:r>
      <w:r>
        <w:rPr>
          <w:rFonts w:ascii="Calibri" w:cs="Calibri" w:eastAsia="Calibri" w:hAnsi="Calibri"/>
          <w:color w:val="2D3748"/>
          <w:sz w:val="23"/>
          <w:szCs w:val="23"/>
        </w:rPr>
        <w:t xml:space="preserve">Normal (no stroke) and Stroke (ischemic or hemorrhagic lesion present)</w:t>
      </w:r>
    </w:p>
    <w:p>
      <w:pPr>
        <w:pStyle w:val="ListParagraph"/>
        <w:numPr>
          <w:ilvl w:val="0"/>
          <w:numId w:val="2"/>
        </w:numPr>
        <w:spacing w:before="80" w:after="100"/>
      </w:pPr>
      <w:r>
        <w:rPr>
          <w:rFonts w:ascii="Calibri" w:cs="Calibri" w:eastAsia="Calibri" w:hAnsi="Calibri"/>
          <w:b/>
          <w:bCs/>
          <w:color w:val="0D7377"/>
          <w:sz w:val="23"/>
          <w:szCs w:val="23"/>
        </w:rPr>
        <w:t xml:space="preserve">Image Format: </w:t>
      </w:r>
      <w:r>
        <w:rPr>
          <w:rFonts w:ascii="Calibri" w:cs="Calibri" w:eastAsia="Calibri" w:hAnsi="Calibri"/>
          <w:color w:val="2D3748"/>
          <w:sz w:val="23"/>
          <w:szCs w:val="23"/>
        </w:rPr>
        <w:t xml:space="preserve">JPEG, 224 × 224 pixels after preprocessing</w:t>
      </w:r>
    </w:p>
    <w:p>
      <w:pPr>
        <w:pStyle w:val="ListParagraph"/>
        <w:numPr>
          <w:ilvl w:val="0"/>
          <w:numId w:val="2"/>
        </w:numPr>
        <w:spacing w:before="80" w:after="100"/>
      </w:pPr>
      <w:r>
        <w:rPr>
          <w:rFonts w:ascii="Calibri" w:cs="Calibri" w:eastAsia="Calibri" w:hAnsi="Calibri"/>
          <w:b/>
          <w:bCs/>
          <w:color w:val="0D7377"/>
          <w:sz w:val="23"/>
          <w:szCs w:val="23"/>
        </w:rPr>
        <w:t xml:space="preserve">After Augmentation: </w:t>
      </w:r>
      <w:r>
        <w:rPr>
          <w:rFonts w:ascii="Calibri" w:cs="Calibri" w:eastAsia="Calibri" w:hAnsi="Calibri"/>
          <w:color w:val="2D3748"/>
          <w:sz w:val="23"/>
          <w:szCs w:val="23"/>
        </w:rPr>
        <w:t xml:space="preserve">Approximately 15,000 images in the training set</w:t>
      </w:r>
    </w:p>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BBCC" w:sz="4"/>
              <w:left w:val="dashed" w:color="AABBCC" w:sz="4"/>
              <w:bottom w:val="dashed" w:color="AABBCC" w:sz="4"/>
              <w:right w:val="dashed" w:color="AABBCC" w:sz="4"/>
            </w:tcBorders>
            <w:shd w:fill="F5F7FA" w:val="clear"/>
            <w:tcMar>
              <w:top w:type="dxa" w:w="200"/>
              <w:left w:type="dxa" w:w="200"/>
              <w:bottom w:type="dxa" w:w="200"/>
              <w:right w:type="dxa" w:w="200"/>
            </w:tcMar>
          </w:tcPr>
          <w:p>
            <w:pPr>
              <w:spacing w:before="80" w:after="40"/>
              <w:jc w:val="center"/>
            </w:pPr>
            <w:r>
              <w:rPr>
                <w:rFonts w:ascii="Calibri" w:cs="Calibri" w:eastAsia="Calibri" w:hAnsi="Calibri"/>
                <w:i/>
                <w:iCs/>
                <w:color w:val="AABBCC"/>
                <w:sz w:val="22"/>
                <w:szCs w:val="22"/>
              </w:rPr>
              <w:t xml:space="preserve">[ Figure Placeholder ]</w:t>
            </w:r>
          </w:p>
          <w:p>
            <w:pPr>
              <w:spacing w:before="0" w:after="80"/>
              <w:jc w:val="center"/>
            </w:pPr>
            <w:r>
              <w:rPr>
                <w:rFonts w:ascii="Calibri" w:cs="Calibri" w:eastAsia="Calibri" w:hAnsi="Calibri"/>
                <w:b/>
                <w:bCs/>
                <w:color w:val="8899AA"/>
                <w:sz w:val="20"/>
                <w:szCs w:val="20"/>
              </w:rPr>
              <w:t xml:space="preserve">Figure 1 — Sample CT scan images: Normal (left) vs. Stroke (right)</w:t>
            </w:r>
          </w:p>
        </w:tc>
      </w:tr>
    </w:tbl>
    <w:p>
      <w:pPr>
        <w:spacing w:before="0" w:after="200"/>
      </w:pPr>
      <w:r>
        <w:t xml:space="preserve"/>
      </w:r>
    </w:p>
    <w:p>
      <w:pPr>
        <w:pStyle w:val="Heading3"/>
        <w:spacing w:before="280" w:after="100"/>
      </w:pPr>
      <w:r>
        <w:rPr>
          <w:rFonts w:ascii="Calibri" w:cs="Calibri" w:eastAsia="Calibri" w:hAnsi="Calibri"/>
          <w:b/>
          <w:bCs/>
          <w:color w:val="0D7377"/>
          <w:sz w:val="26"/>
          <w:szCs w:val="26"/>
        </w:rPr>
        <w:t xml:space="preserve">2.2  </w:t>
      </w:r>
      <w:r>
        <w:rPr>
          <w:rFonts w:ascii="Calibri" w:cs="Calibri" w:eastAsia="Calibri" w:hAnsi="Calibri"/>
          <w:b/>
          <w:bCs/>
          <w:color w:val="1B2A4A"/>
          <w:sz w:val="26"/>
          <w:szCs w:val="26"/>
        </w:rPr>
        <w:t xml:space="preserve">Data Split Strategy</w:t>
      </w:r>
    </w:p>
    <w:p>
      <w:pPr>
        <w:spacing w:before="0" w:after="180"/>
        <w:jc w:val="both"/>
      </w:pPr>
      <w:r>
        <w:rPr>
          <w:rFonts w:ascii="Calibri" w:cs="Calibri" w:eastAsia="Calibri" w:hAnsi="Calibri"/>
          <w:color w:val="2D3748"/>
          <w:sz w:val="23"/>
          <w:szCs w:val="23"/>
        </w:rPr>
        <w:t xml:space="preserve">The dataset was divided into three non-overlapping subsets prior to any augmentation. This strict separation ensures that the model is evaluated only on data it has never encountered during training.</w:t>
      </w:r>
    </w:p>
    <w:p>
      <w:pPr>
        <w:pStyle w:val="ListParagraph"/>
        <w:numPr>
          <w:ilvl w:val="0"/>
          <w:numId w:val="2"/>
        </w:numPr>
        <w:spacing w:before="80" w:after="100"/>
      </w:pPr>
      <w:r>
        <w:rPr>
          <w:rFonts w:ascii="Calibri" w:cs="Calibri" w:eastAsia="Calibri" w:hAnsi="Calibri"/>
          <w:b/>
          <w:bCs/>
          <w:color w:val="0D7377"/>
          <w:sz w:val="23"/>
          <w:szCs w:val="23"/>
        </w:rPr>
        <w:t xml:space="preserve">Training Set (70%): </w:t>
      </w:r>
      <w:r>
        <w:rPr>
          <w:rFonts w:ascii="Calibri" w:cs="Calibri" w:eastAsia="Calibri" w:hAnsi="Calibri"/>
          <w:color w:val="2D3748"/>
          <w:sz w:val="23"/>
          <w:szCs w:val="23"/>
        </w:rPr>
        <w:t xml:space="preserve">Used to train the model weights. Augmentation is applied exclusively to this subset.</w:t>
      </w:r>
    </w:p>
    <w:p>
      <w:pPr>
        <w:pStyle w:val="ListParagraph"/>
        <w:numPr>
          <w:ilvl w:val="0"/>
          <w:numId w:val="2"/>
        </w:numPr>
        <w:spacing w:before="80" w:after="100"/>
      </w:pPr>
      <w:r>
        <w:rPr>
          <w:rFonts w:ascii="Calibri" w:cs="Calibri" w:eastAsia="Calibri" w:hAnsi="Calibri"/>
          <w:b/>
          <w:bCs/>
          <w:color w:val="0D7377"/>
          <w:sz w:val="23"/>
          <w:szCs w:val="23"/>
        </w:rPr>
        <w:t xml:space="preserve">Validation Set (15%): </w:t>
      </w:r>
      <w:r>
        <w:rPr>
          <w:rFonts w:ascii="Calibri" w:cs="Calibri" w:eastAsia="Calibri" w:hAnsi="Calibri"/>
          <w:color w:val="2D3748"/>
          <w:sz w:val="23"/>
          <w:szCs w:val="23"/>
        </w:rPr>
        <w:t xml:space="preserve">Used during training to monitor generalization and trigger early stopping. Original images only — no augmentation.</w:t>
      </w:r>
    </w:p>
    <w:p>
      <w:pPr>
        <w:pStyle w:val="ListParagraph"/>
        <w:numPr>
          <w:ilvl w:val="0"/>
          <w:numId w:val="2"/>
        </w:numPr>
        <w:spacing w:before="80" w:after="100"/>
      </w:pPr>
      <w:r>
        <w:rPr>
          <w:rFonts w:ascii="Calibri" w:cs="Calibri" w:eastAsia="Calibri" w:hAnsi="Calibri"/>
          <w:b/>
          <w:bCs/>
          <w:color w:val="0D7377"/>
          <w:sz w:val="23"/>
          <w:szCs w:val="23"/>
        </w:rPr>
        <w:t xml:space="preserve">Test Set (15%): </w:t>
      </w:r>
      <w:r>
        <w:rPr>
          <w:rFonts w:ascii="Calibri" w:cs="Calibri" w:eastAsia="Calibri" w:hAnsi="Calibri"/>
          <w:color w:val="2D3748"/>
          <w:sz w:val="23"/>
          <w:szCs w:val="23"/>
        </w:rPr>
        <w:t xml:space="preserve">Held out entirely until final evaluation. Original images only — never used during training or hyperparameter tuning.</w:t>
      </w:r>
    </w:p>
    <w:p>
      <w:pPr>
        <w:spacing w:before="0" w:after="160"/>
      </w:pPr>
      <w:r>
        <w:t xml:space="preserve"/>
      </w:r>
    </w:p>
    <w:p>
      <w:pPr>
        <w:pStyle w:val="Heading2"/>
        <w:spacing w:before="360" w:after="160"/>
      </w:pPr>
      <w:r>
        <w:rPr>
          <w:rFonts w:ascii="Calibri" w:cs="Calibri" w:eastAsia="Calibri" w:hAnsi="Calibri"/>
          <w:b/>
          <w:bCs/>
          <w:color w:val="D4A843"/>
          <w:sz w:val="30"/>
          <w:szCs w:val="30"/>
        </w:rPr>
        <w:t xml:space="preserve">3  </w:t>
      </w:r>
      <w:r>
        <w:rPr>
          <w:rFonts w:ascii="Calibri" w:cs="Calibri" w:eastAsia="Calibri" w:hAnsi="Calibri"/>
          <w:b/>
          <w:bCs/>
          <w:color w:val="1B2A4A"/>
          <w:sz w:val="30"/>
          <w:szCs w:val="30"/>
        </w:rPr>
        <w:t xml:space="preserve">Data Augmentation</w:t>
      </w:r>
    </w:p>
    <w:p>
      <w:pPr>
        <w:pBdr>
          <w:bottom w:val="single" w:color="0D7377" w:sz="4" w:space="1"/>
        </w:pBdr>
        <w:spacing w:before="0" w:after="0"/>
      </w:pPr>
      <w:r>
        <w:t xml:space="preserve"/>
      </w:r>
    </w:p>
    <w:p>
      <w:pPr>
        <w:spacing w:before="0" w:after="160"/>
      </w:pPr>
      <w:r>
        <w:t xml:space="preserve"/>
      </w:r>
    </w:p>
    <w:p>
      <w:pPr>
        <w:spacing w:before="0" w:after="180"/>
        <w:jc w:val="both"/>
      </w:pPr>
      <w:r>
        <w:rPr>
          <w:rFonts w:ascii="Calibri" w:cs="Calibri" w:eastAsia="Calibri" w:hAnsi="Calibri"/>
          <w:color w:val="2D3748"/>
          <w:sz w:val="23"/>
          <w:szCs w:val="23"/>
        </w:rPr>
        <w:t xml:space="preserve">Medical imaging datasets are inherently small compared to general-purpose computer vision datasets. The CT scan dataset contains approximately 2,500 images — insufficient to train a deep neural network from scratch without severe overfitting. Data augmentation addresses this limitation by generating synthetic training examples through controlled transformations of existing images.</w:t>
      </w:r>
    </w:p>
    <w:p>
      <w:pPr>
        <w:spacing w:before="0" w:after="180"/>
        <w:jc w:val="both"/>
      </w:pPr>
      <w:r>
        <w:rPr>
          <w:rFonts w:ascii="Calibri" w:cs="Calibri" w:eastAsia="Calibri" w:hAnsi="Calibri"/>
          <w:color w:val="2D3748"/>
          <w:sz w:val="23"/>
          <w:szCs w:val="23"/>
        </w:rPr>
        <w:t xml:space="preserve">All augmentation in this project is performed offline — the augmented images are generated once, saved to disk, and then used as fixed training data. This approach is preferred over on-the-fly augmentation because it allows full reproducibility and faster training iterations.</w:t>
      </w:r>
    </w:p>
    <w:p>
      <w:pPr>
        <w:spacing w:before="0" w:after="120"/>
      </w:pPr>
      <w:r>
        <w:t xml:space="preserve"/>
      </w:r>
    </w:p>
    <w:p>
      <w:pPr>
        <w:pStyle w:val="Heading3"/>
        <w:spacing w:before="280" w:after="100"/>
      </w:pPr>
      <w:r>
        <w:rPr>
          <w:rFonts w:ascii="Calibri" w:cs="Calibri" w:eastAsia="Calibri" w:hAnsi="Calibri"/>
          <w:b/>
          <w:bCs/>
          <w:color w:val="0D7377"/>
          <w:sz w:val="26"/>
          <w:szCs w:val="26"/>
        </w:rPr>
        <w:t xml:space="preserve">3.1  </w:t>
      </w:r>
      <w:r>
        <w:rPr>
          <w:rFonts w:ascii="Calibri" w:cs="Calibri" w:eastAsia="Calibri" w:hAnsi="Calibri"/>
          <w:b/>
          <w:bCs/>
          <w:color w:val="1B2A4A"/>
          <w:sz w:val="26"/>
          <w:szCs w:val="26"/>
        </w:rPr>
        <w:t xml:space="preserve">Augmentation Techniques Applied</w:t>
      </w:r>
    </w:p>
    <w:p>
      <w:pPr>
        <w:spacing w:before="0" w:after="180"/>
        <w:jc w:val="both"/>
      </w:pPr>
      <w:r>
        <w:rPr>
          <w:rFonts w:ascii="Calibri" w:cs="Calibri" w:eastAsia="Calibri" w:hAnsi="Calibri"/>
          <w:color w:val="2D3748"/>
          <w:sz w:val="23"/>
          <w:szCs w:val="23"/>
        </w:rPr>
        <w:t xml:space="preserve">The following seven transformations were applied in random combinations to each training image, producing five augmented variants per original image:</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none"/>
              <w:left w:val="single" w:color="334466" w:sz="1"/>
              <w:bottom w:val="single" w:color="D4A843" w:sz="4"/>
              <w:right w:val="single" w:color="334466" w:sz="1"/>
            </w:tcBorders>
            <w:shd w:fill="1B2A4A" w:val="clear"/>
            <w:tcMar>
              <w:top w:type="dxa" w:w="100"/>
              <w:left w:type="dxa" w:w="120"/>
              <w:bottom w:type="dxa" w:w="100"/>
              <w:right w:type="dxa" w:w="80"/>
            </w:tcMar>
          </w:tcPr>
          <w:p>
            <w:r>
              <w:rPr>
                <w:rFonts w:ascii="Calibri" w:cs="Calibri" w:eastAsia="Calibri" w:hAnsi="Calibri"/>
                <w:b/>
                <w:bCs/>
                <w:color w:val="FFFFFF"/>
                <w:sz w:val="20"/>
                <w:szCs w:val="20"/>
              </w:rPr>
              <w:t xml:space="preserve">Technique</w:t>
            </w:r>
          </w:p>
        </w:tc>
        <w:tc>
          <w:tcPr>
            <w:tcW w:type="dxa" w:w="2500"/>
            <w:tcBorders>
              <w:top w:val="none"/>
              <w:left w:val="single" w:color="334466" w:sz="1"/>
              <w:bottom w:val="single" w:color="D4A843" w:sz="4"/>
              <w:right w:val="single" w:color="334466" w:sz="1"/>
            </w:tcBorders>
            <w:shd w:fill="1B2A4A" w:val="clear"/>
            <w:tcMar>
              <w:top w:type="dxa" w:w="100"/>
              <w:left w:type="dxa" w:w="120"/>
              <w:bottom w:type="dxa" w:w="100"/>
              <w:right w:type="dxa" w:w="80"/>
            </w:tcMar>
          </w:tcPr>
          <w:p>
            <w:r>
              <w:rPr>
                <w:rFonts w:ascii="Calibri" w:cs="Calibri" w:eastAsia="Calibri" w:hAnsi="Calibri"/>
                <w:b/>
                <w:bCs/>
                <w:color w:val="FFFFFF"/>
                <w:sz w:val="20"/>
                <w:szCs w:val="20"/>
              </w:rPr>
              <w:t xml:space="preserve">Parameter Range</w:t>
            </w:r>
          </w:p>
        </w:tc>
        <w:tc>
          <w:tcPr>
            <w:tcW w:type="dxa" w:w="4526"/>
            <w:tcBorders>
              <w:top w:val="none"/>
              <w:left w:val="single" w:color="334466" w:sz="1"/>
              <w:bottom w:val="single" w:color="D4A843" w:sz="4"/>
              <w:right w:val="single" w:color="334466" w:sz="1"/>
            </w:tcBorders>
            <w:shd w:fill="1B2A4A" w:val="clear"/>
            <w:tcMar>
              <w:top w:type="dxa" w:w="100"/>
              <w:left w:type="dxa" w:w="120"/>
              <w:bottom w:type="dxa" w:w="100"/>
              <w:right w:type="dxa" w:w="80"/>
            </w:tcMar>
          </w:tcPr>
          <w:p>
            <w:r>
              <w:rPr>
                <w:rFonts w:ascii="Calibri" w:cs="Calibri" w:eastAsia="Calibri" w:hAnsi="Calibri"/>
                <w:b/>
                <w:bCs/>
                <w:color w:val="FFFFFF"/>
                <w:sz w:val="20"/>
                <w:szCs w:val="20"/>
              </w:rPr>
              <w:t xml:space="preserve">Clinical Justification</w:t>
            </w:r>
          </w:p>
        </w:tc>
      </w:tr>
      <w:tr>
        <w:tc>
          <w:tcPr>
            <w:tcW w:type="dxa" w:w="2000"/>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bCs/>
                <w:color w:val="0D7377"/>
                <w:sz w:val="20"/>
                <w:szCs w:val="20"/>
              </w:rPr>
              <w:t xml:space="preserve">Rotation</w:t>
            </w:r>
          </w:p>
        </w:tc>
        <w:tc>
          <w:tcPr>
            <w:tcW w:type="dxa" w:w="2500"/>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±15°</w:t>
            </w:r>
          </w:p>
        </w:tc>
        <w:tc>
          <w:tcPr>
            <w:tcW w:type="dxa" w:w="4526"/>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CT scanners are calibrated, but patient positioning may vary slightly</w:t>
            </w:r>
          </w:p>
        </w:tc>
      </w:tr>
      <w:tr>
        <w:tc>
          <w:tcPr>
            <w:tcW w:type="dxa" w:w="2000"/>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bCs/>
                <w:color w:val="0D7377"/>
                <w:sz w:val="20"/>
                <w:szCs w:val="20"/>
              </w:rPr>
              <w:t xml:space="preserve">Horizontal Flip</w:t>
            </w:r>
          </w:p>
        </w:tc>
        <w:tc>
          <w:tcPr>
            <w:tcW w:type="dxa" w:w="2500"/>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50% probability</w:t>
            </w:r>
          </w:p>
        </w:tc>
        <w:tc>
          <w:tcPr>
            <w:tcW w:type="dxa" w:w="4526"/>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Stroke lesions can appear on either hemisphere of the brain</w:t>
            </w:r>
          </w:p>
        </w:tc>
      </w:tr>
      <w:tr>
        <w:tc>
          <w:tcPr>
            <w:tcW w:type="dxa" w:w="2000"/>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bCs/>
                <w:color w:val="0D7377"/>
                <w:sz w:val="20"/>
                <w:szCs w:val="20"/>
              </w:rPr>
              <w:t xml:space="preserve">Zoom</w:t>
            </w:r>
          </w:p>
        </w:tc>
        <w:tc>
          <w:tcPr>
            <w:tcW w:type="dxa" w:w="2500"/>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±10%</w:t>
            </w:r>
          </w:p>
        </w:tc>
        <w:tc>
          <w:tcPr>
            <w:tcW w:type="dxa" w:w="4526"/>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Simulates variability in CT scan magnification across different machines</w:t>
            </w:r>
          </w:p>
        </w:tc>
      </w:tr>
      <w:tr>
        <w:tc>
          <w:tcPr>
            <w:tcW w:type="dxa" w:w="2000"/>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bCs/>
                <w:color w:val="0D7377"/>
                <w:sz w:val="20"/>
                <w:szCs w:val="20"/>
              </w:rPr>
              <w:t xml:space="preserve">Brightness</w:t>
            </w:r>
          </w:p>
        </w:tc>
        <w:tc>
          <w:tcPr>
            <w:tcW w:type="dxa" w:w="2500"/>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85% – 115%</w:t>
            </w:r>
          </w:p>
        </w:tc>
        <w:tc>
          <w:tcPr>
            <w:tcW w:type="dxa" w:w="4526"/>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CT scan brightness varies based on scanner settings and patient anatomy</w:t>
            </w:r>
          </w:p>
        </w:tc>
      </w:tr>
      <w:tr>
        <w:tc>
          <w:tcPr>
            <w:tcW w:type="dxa" w:w="2000"/>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bCs/>
                <w:color w:val="0D7377"/>
                <w:sz w:val="20"/>
                <w:szCs w:val="20"/>
              </w:rPr>
              <w:t xml:space="preserve">Contrast</w:t>
            </w:r>
          </w:p>
        </w:tc>
        <w:tc>
          <w:tcPr>
            <w:tcW w:type="dxa" w:w="2500"/>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85% – 115%</w:t>
            </w:r>
          </w:p>
        </w:tc>
        <w:tc>
          <w:tcPr>
            <w:tcW w:type="dxa" w:w="4526"/>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Different scanners and scan protocols produce varying tissue contrast</w:t>
            </w:r>
          </w:p>
        </w:tc>
      </w:tr>
      <w:tr>
        <w:tc>
          <w:tcPr>
            <w:tcW w:type="dxa" w:w="2000"/>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bCs/>
                <w:color w:val="0D7377"/>
                <w:sz w:val="20"/>
                <w:szCs w:val="20"/>
              </w:rPr>
              <w:t xml:space="preserve">Gaussian Noise</w:t>
            </w:r>
          </w:p>
        </w:tc>
        <w:tc>
          <w:tcPr>
            <w:tcW w:type="dxa" w:w="2500"/>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σ = 3</w:t>
            </w:r>
          </w:p>
        </w:tc>
        <w:tc>
          <w:tcPr>
            <w:tcW w:type="dxa" w:w="4526"/>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Simulates electronic noise inherent in CT imaging equipment</w:t>
            </w:r>
          </w:p>
        </w:tc>
      </w:tr>
      <w:tr>
        <w:tc>
          <w:tcPr>
            <w:tcW w:type="dxa" w:w="2000"/>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bCs/>
                <w:color w:val="0D7377"/>
                <w:sz w:val="20"/>
                <w:szCs w:val="20"/>
              </w:rPr>
              <w:t xml:space="preserve">Translation Shift</w:t>
            </w:r>
          </w:p>
        </w:tc>
        <w:tc>
          <w:tcPr>
            <w:tcW w:type="dxa" w:w="2500"/>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±5%</w:t>
            </w:r>
          </w:p>
        </w:tc>
        <w:tc>
          <w:tcPr>
            <w:tcW w:type="dxa" w:w="4526"/>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Accounts for variability in patient head positioning during scanning</w:t>
            </w:r>
          </w:p>
        </w:tc>
      </w:tr>
    </w:tbl>
    <w:p>
      <w:pPr>
        <w:spacing w:before="0" w:after="240"/>
      </w:pPr>
      <w:r>
        <w:t xml:space="preserve"/>
      </w:r>
    </w:p>
    <w:p>
      <w:pPr>
        <w:spacing w:before="0" w:after="180"/>
        <w:jc w:val="both"/>
      </w:pPr>
      <w:r>
        <w:rPr>
          <w:rFonts w:ascii="Calibri" w:cs="Calibri" w:eastAsia="Calibri" w:hAnsi="Calibri"/>
          <w:color w:val="2D3748"/>
          <w:sz w:val="23"/>
          <w:szCs w:val="23"/>
        </w:rPr>
        <w:t xml:space="preserve">Each augmented image receives a different random combination of these transformations, ensuring maximum diversity within the training set. The probability of each transformation being applied is set below 70%, so no single augmentation dominates the dataset.</w:t>
      </w:r>
    </w:p>
    <w:p>
      <w:pPr>
        <w:spacing w:before="0" w:after="120"/>
      </w:pPr>
      <w:r>
        <w:t xml:space="preserve"/>
      </w:r>
    </w:p>
    <w:p>
      <w:pPr>
        <w:pStyle w:val="Heading3"/>
        <w:spacing w:before="280" w:after="100"/>
      </w:pPr>
      <w:r>
        <w:rPr>
          <w:rFonts w:ascii="Calibri" w:cs="Calibri" w:eastAsia="Calibri" w:hAnsi="Calibri"/>
          <w:b/>
          <w:bCs/>
          <w:color w:val="0D7377"/>
          <w:sz w:val="26"/>
          <w:szCs w:val="26"/>
        </w:rPr>
        <w:t xml:space="preserve">3.2  </w:t>
      </w:r>
      <w:r>
        <w:rPr>
          <w:rFonts w:ascii="Calibri" w:cs="Calibri" w:eastAsia="Calibri" w:hAnsi="Calibri"/>
          <w:b/>
          <w:bCs/>
          <w:color w:val="1B2A4A"/>
          <w:sz w:val="26"/>
          <w:szCs w:val="26"/>
        </w:rPr>
        <w:t xml:space="preserve">Augmentation Result</w:t>
      </w:r>
    </w:p>
    <w:p>
      <w:pPr>
        <w:pStyle w:val="ListParagraph"/>
        <w:numPr>
          <w:ilvl w:val="0"/>
          <w:numId w:val="2"/>
        </w:numPr>
        <w:spacing w:before="80" w:after="100"/>
      </w:pPr>
      <w:r>
        <w:rPr>
          <w:rFonts w:ascii="Calibri" w:cs="Calibri" w:eastAsia="Calibri" w:hAnsi="Calibri"/>
          <w:b/>
          <w:bCs/>
          <w:color w:val="0D7377"/>
          <w:sz w:val="23"/>
          <w:szCs w:val="23"/>
        </w:rPr>
        <w:t xml:space="preserve">Original training images: </w:t>
      </w:r>
      <w:r>
        <w:rPr>
          <w:rFonts w:ascii="Calibri" w:cs="Calibri" w:eastAsia="Calibri" w:hAnsi="Calibri"/>
          <w:color w:val="2D3748"/>
          <w:sz w:val="23"/>
          <w:szCs w:val="23"/>
        </w:rPr>
        <w:t xml:space="preserve">~1,750 (70% of 2,500)</w:t>
      </w:r>
    </w:p>
    <w:p>
      <w:pPr>
        <w:pStyle w:val="ListParagraph"/>
        <w:numPr>
          <w:ilvl w:val="0"/>
          <w:numId w:val="2"/>
        </w:numPr>
        <w:spacing w:before="80" w:after="100"/>
      </w:pPr>
      <w:r>
        <w:rPr>
          <w:rFonts w:ascii="Calibri" w:cs="Calibri" w:eastAsia="Calibri" w:hAnsi="Calibri"/>
          <w:b/>
          <w:bCs/>
          <w:color w:val="0D7377"/>
          <w:sz w:val="23"/>
          <w:szCs w:val="23"/>
        </w:rPr>
        <w:t xml:space="preserve">Augmented copies per image: </w:t>
      </w:r>
      <w:r>
        <w:rPr>
          <w:rFonts w:ascii="Calibri" w:cs="Calibri" w:eastAsia="Calibri" w:hAnsi="Calibri"/>
          <w:color w:val="2D3748"/>
          <w:sz w:val="23"/>
          <w:szCs w:val="23"/>
        </w:rPr>
        <w:t xml:space="preserve">5</w:t>
      </w:r>
    </w:p>
    <w:p>
      <w:pPr>
        <w:pStyle w:val="ListParagraph"/>
        <w:numPr>
          <w:ilvl w:val="0"/>
          <w:numId w:val="2"/>
        </w:numPr>
        <w:spacing w:before="80" w:after="100"/>
      </w:pPr>
      <w:r>
        <w:rPr>
          <w:rFonts w:ascii="Calibri" w:cs="Calibri" w:eastAsia="Calibri" w:hAnsi="Calibri"/>
          <w:b/>
          <w:bCs/>
          <w:color w:val="0D7377"/>
          <w:sz w:val="23"/>
          <w:szCs w:val="23"/>
        </w:rPr>
        <w:t xml:space="preserve">Total training images after augmentation: </w:t>
      </w:r>
      <w:r>
        <w:rPr>
          <w:rFonts w:ascii="Calibri" w:cs="Calibri" w:eastAsia="Calibri" w:hAnsi="Calibri"/>
          <w:color w:val="2D3748"/>
          <w:sz w:val="23"/>
          <w:szCs w:val="23"/>
        </w:rPr>
        <w:t xml:space="preserve">~10,500</w:t>
      </w:r>
    </w:p>
    <w:p>
      <w:pPr>
        <w:pStyle w:val="ListParagraph"/>
        <w:numPr>
          <w:ilvl w:val="0"/>
          <w:numId w:val="2"/>
        </w:numPr>
        <w:spacing w:before="80" w:after="100"/>
      </w:pPr>
      <w:r>
        <w:rPr>
          <w:rFonts w:ascii="Calibri" w:cs="Calibri" w:eastAsia="Calibri" w:hAnsi="Calibri"/>
          <w:b/>
          <w:bCs/>
          <w:color w:val="0D7377"/>
          <w:sz w:val="23"/>
          <w:szCs w:val="23"/>
        </w:rPr>
        <w:t xml:space="preserve">Validation and test images: </w:t>
      </w:r>
      <w:r>
        <w:rPr>
          <w:rFonts w:ascii="Calibri" w:cs="Calibri" w:eastAsia="Calibri" w:hAnsi="Calibri"/>
          <w:color w:val="2D3748"/>
          <w:sz w:val="23"/>
          <w:szCs w:val="23"/>
        </w:rPr>
        <w:t xml:space="preserve">Unchanged originals only</w:t>
      </w:r>
    </w:p>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BBCC" w:sz="4"/>
              <w:left w:val="dashed" w:color="AABBCC" w:sz="4"/>
              <w:bottom w:val="dashed" w:color="AABBCC" w:sz="4"/>
              <w:right w:val="dashed" w:color="AABBCC" w:sz="4"/>
            </w:tcBorders>
            <w:shd w:fill="F5F7FA" w:val="clear"/>
            <w:tcMar>
              <w:top w:type="dxa" w:w="200"/>
              <w:left w:type="dxa" w:w="200"/>
              <w:bottom w:type="dxa" w:w="200"/>
              <w:right w:type="dxa" w:w="200"/>
            </w:tcMar>
          </w:tcPr>
          <w:p>
            <w:pPr>
              <w:spacing w:before="80" w:after="40"/>
              <w:jc w:val="center"/>
            </w:pPr>
            <w:r>
              <w:rPr>
                <w:rFonts w:ascii="Calibri" w:cs="Calibri" w:eastAsia="Calibri" w:hAnsi="Calibri"/>
                <w:i/>
                <w:iCs/>
                <w:color w:val="AABBCC"/>
                <w:sz w:val="22"/>
                <w:szCs w:val="22"/>
              </w:rPr>
              <w:t xml:space="preserve">[ Figure Placeholder ]</w:t>
            </w:r>
          </w:p>
          <w:p>
            <w:pPr>
              <w:spacing w:before="0" w:after="80"/>
              <w:jc w:val="center"/>
            </w:pPr>
            <w:r>
              <w:rPr>
                <w:rFonts w:ascii="Calibri" w:cs="Calibri" w:eastAsia="Calibri" w:hAnsi="Calibri"/>
                <w:b/>
                <w:bCs/>
                <w:color w:val="8899AA"/>
                <w:sz w:val="20"/>
                <w:szCs w:val="20"/>
              </w:rPr>
              <w:t xml:space="preserve">Figure 2 — Augmentation preview: one original CT scan and five augmented variants</w:t>
            </w:r>
          </w:p>
        </w:tc>
      </w:tr>
    </w:tbl>
    <w:p>
      <w:pPr>
        <w:spacing w:before="0" w:after="200"/>
      </w:pPr>
      <w:r>
        <w:t xml:space="preserve"/>
      </w:r>
    </w:p>
    <w:p>
      <w:pPr>
        <w:pStyle w:val="Heading2"/>
        <w:spacing w:before="360" w:after="160"/>
      </w:pPr>
      <w:r>
        <w:rPr>
          <w:rFonts w:ascii="Calibri" w:cs="Calibri" w:eastAsia="Calibri" w:hAnsi="Calibri"/>
          <w:b/>
          <w:bCs/>
          <w:color w:val="D4A843"/>
          <w:sz w:val="30"/>
          <w:szCs w:val="30"/>
        </w:rPr>
        <w:t xml:space="preserve">4  </w:t>
      </w:r>
      <w:r>
        <w:rPr>
          <w:rFonts w:ascii="Calibri" w:cs="Calibri" w:eastAsia="Calibri" w:hAnsi="Calibri"/>
          <w:b/>
          <w:bCs/>
          <w:color w:val="1B2A4A"/>
          <w:sz w:val="30"/>
          <w:szCs w:val="30"/>
        </w:rPr>
        <w:t xml:space="preserve">Model Architecture — EfficientNetB0</w:t>
      </w:r>
    </w:p>
    <w:p>
      <w:pPr>
        <w:pBdr>
          <w:bottom w:val="single" w:color="0D7377" w:sz="4" w:space="1"/>
        </w:pBdr>
        <w:spacing w:before="0" w:after="0"/>
      </w:pPr>
      <w:r>
        <w:t xml:space="preserve"/>
      </w:r>
    </w:p>
    <w:p>
      <w:pPr>
        <w:spacing w:before="0" w:after="160"/>
      </w:pPr>
      <w:r>
        <w:t xml:space="preserve"/>
      </w:r>
    </w:p>
    <w:p>
      <w:pPr>
        <w:spacing w:before="0" w:after="180"/>
        <w:jc w:val="both"/>
      </w:pPr>
      <w:r>
        <w:rPr>
          <w:rFonts w:ascii="Calibri" w:cs="Calibri" w:eastAsia="Calibri" w:hAnsi="Calibri"/>
          <w:color w:val="2D3748"/>
          <w:sz w:val="23"/>
          <w:szCs w:val="23"/>
        </w:rPr>
        <w:t xml:space="preserve">The image model is built on EfficientNetB0, a convolutional neural network architecture introduced by Tan and Le (2019) at Google Brain. EfficientNet models are constructed using a compound scaling method that uniformly scales network depth, width, and resolution using a set of fixed scaling coefficients, achieving superior accuracy with significantly fewer parameters than prior architectures.</w:t>
      </w:r>
    </w:p>
    <w:p>
      <w:pPr>
        <w:spacing w:before="0" w:after="120"/>
      </w:pPr>
      <w:r>
        <w:t xml:space="preserve"/>
      </w:r>
    </w:p>
    <w:p>
      <w:pPr>
        <w:pStyle w:val="Heading3"/>
        <w:spacing w:before="280" w:after="100"/>
      </w:pPr>
      <w:r>
        <w:rPr>
          <w:rFonts w:ascii="Calibri" w:cs="Calibri" w:eastAsia="Calibri" w:hAnsi="Calibri"/>
          <w:b/>
          <w:bCs/>
          <w:color w:val="0D7377"/>
          <w:sz w:val="26"/>
          <w:szCs w:val="26"/>
        </w:rPr>
        <w:t xml:space="preserve">4.1  </w:t>
      </w:r>
      <w:r>
        <w:rPr>
          <w:rFonts w:ascii="Calibri" w:cs="Calibri" w:eastAsia="Calibri" w:hAnsi="Calibri"/>
          <w:b/>
          <w:bCs/>
          <w:color w:val="1B2A4A"/>
          <w:sz w:val="26"/>
          <w:szCs w:val="26"/>
        </w:rPr>
        <w:t xml:space="preserve">Why EfficientNetB0</w:t>
      </w:r>
    </w:p>
    <w:p>
      <w:pPr>
        <w:spacing w:before="0" w:after="180"/>
        <w:jc w:val="both"/>
      </w:pPr>
      <w:r>
        <w:rPr>
          <w:rFonts w:ascii="Calibri" w:cs="Calibri" w:eastAsia="Calibri" w:hAnsi="Calibri"/>
          <w:color w:val="2D3748"/>
          <w:sz w:val="23"/>
          <w:szCs w:val="23"/>
        </w:rPr>
        <w:t xml:space="preserve">Several candidate architectures were evaluated for this task. EfficientNetB0 was selected based on the following comparison:</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none"/>
              <w:left w:val="single" w:color="334466" w:sz="1"/>
              <w:bottom w:val="single" w:color="D4A843" w:sz="4"/>
              <w:right w:val="single" w:color="334466" w:sz="1"/>
            </w:tcBorders>
            <w:shd w:fill="1B2A4A" w:val="clear"/>
            <w:tcMar>
              <w:top w:type="dxa" w:w="100"/>
              <w:left w:type="dxa" w:w="120"/>
              <w:bottom w:type="dxa" w:w="100"/>
              <w:right w:type="dxa" w:w="80"/>
            </w:tcMar>
          </w:tcPr>
          <w:p>
            <w:r>
              <w:rPr>
                <w:rFonts w:ascii="Calibri" w:cs="Calibri" w:eastAsia="Calibri" w:hAnsi="Calibri"/>
                <w:b/>
                <w:bCs/>
                <w:color w:val="FFFFFF"/>
                <w:sz w:val="20"/>
                <w:szCs w:val="20"/>
              </w:rPr>
              <w:t xml:space="preserve">Architecture</w:t>
            </w:r>
          </w:p>
        </w:tc>
        <w:tc>
          <w:tcPr>
            <w:tcW w:type="dxa" w:w="2200"/>
            <w:tcBorders>
              <w:top w:val="none"/>
              <w:left w:val="single" w:color="334466" w:sz="1"/>
              <w:bottom w:val="single" w:color="D4A843" w:sz="4"/>
              <w:right w:val="single" w:color="334466" w:sz="1"/>
            </w:tcBorders>
            <w:shd w:fill="1B2A4A" w:val="clear"/>
            <w:tcMar>
              <w:top w:type="dxa" w:w="100"/>
              <w:left w:type="dxa" w:w="120"/>
              <w:bottom w:type="dxa" w:w="100"/>
              <w:right w:type="dxa" w:w="80"/>
            </w:tcMar>
          </w:tcPr>
          <w:p>
            <w:r>
              <w:rPr>
                <w:rFonts w:ascii="Calibri" w:cs="Calibri" w:eastAsia="Calibri" w:hAnsi="Calibri"/>
                <w:b/>
                <w:bCs/>
                <w:color w:val="FFFFFF"/>
                <w:sz w:val="20"/>
                <w:szCs w:val="20"/>
              </w:rPr>
              <w:t xml:space="preserve">Parameters</w:t>
            </w:r>
          </w:p>
        </w:tc>
        <w:tc>
          <w:tcPr>
            <w:tcW w:type="dxa" w:w="2200"/>
            <w:tcBorders>
              <w:top w:val="none"/>
              <w:left w:val="single" w:color="334466" w:sz="1"/>
              <w:bottom w:val="single" w:color="D4A843" w:sz="4"/>
              <w:right w:val="single" w:color="334466" w:sz="1"/>
            </w:tcBorders>
            <w:shd w:fill="1B2A4A" w:val="clear"/>
            <w:tcMar>
              <w:top w:type="dxa" w:w="100"/>
              <w:left w:type="dxa" w:w="120"/>
              <w:bottom w:type="dxa" w:w="100"/>
              <w:right w:type="dxa" w:w="80"/>
            </w:tcMar>
          </w:tcPr>
          <w:p>
            <w:r>
              <w:rPr>
                <w:rFonts w:ascii="Calibri" w:cs="Calibri" w:eastAsia="Calibri" w:hAnsi="Calibri"/>
                <w:b/>
                <w:bCs/>
                <w:color w:val="FFFFFF"/>
                <w:sz w:val="20"/>
                <w:szCs w:val="20"/>
              </w:rPr>
              <w:t xml:space="preserve">Top-1 Accuracy (ImageNet)</w:t>
            </w:r>
          </w:p>
        </w:tc>
        <w:tc>
          <w:tcPr>
            <w:tcW w:type="dxa" w:w="2426"/>
            <w:tcBorders>
              <w:top w:val="none"/>
              <w:left w:val="single" w:color="334466" w:sz="1"/>
              <w:bottom w:val="single" w:color="D4A843" w:sz="4"/>
              <w:right w:val="single" w:color="334466" w:sz="1"/>
            </w:tcBorders>
            <w:shd w:fill="1B2A4A" w:val="clear"/>
            <w:tcMar>
              <w:top w:type="dxa" w:w="100"/>
              <w:left w:type="dxa" w:w="120"/>
              <w:bottom w:type="dxa" w:w="100"/>
              <w:right w:type="dxa" w:w="80"/>
            </w:tcMar>
          </w:tcPr>
          <w:p>
            <w:r>
              <w:rPr>
                <w:rFonts w:ascii="Calibri" w:cs="Calibri" w:eastAsia="Calibri" w:hAnsi="Calibri"/>
                <w:b/>
                <w:bCs/>
                <w:color w:val="FFFFFF"/>
                <w:sz w:val="20"/>
                <w:szCs w:val="20"/>
              </w:rPr>
              <w:t xml:space="preserve">Why Chosen</w:t>
            </w:r>
          </w:p>
        </w:tc>
      </w:tr>
      <w:tr>
        <w:tc>
          <w:tcPr>
            <w:tcW w:type="dxa" w:w="2200"/>
            <w:tcBorders>
              <w:top w:val="single" w:color="E2EDF0" w:sz="1"/>
              <w:left w:val="single" w:color="E2EDF0" w:sz="1"/>
              <w:bottom w:val="single" w:color="E2EDF0" w:sz="1"/>
              <w:right w:val="single" w:color="E2EDF0" w:sz="1"/>
            </w:tcBorders>
            <w:shd w:fill="EAF9F0" w:val="clear"/>
            <w:tcMar>
              <w:top w:type="dxa" w:w="80"/>
              <w:left w:type="dxa" w:w="120"/>
              <w:bottom w:type="dxa" w:w="80"/>
              <w:right w:type="dxa" w:w="80"/>
            </w:tcMar>
            <w:vAlign w:val="center"/>
          </w:tcPr>
          <w:p>
            <w:r>
              <w:rPr>
                <w:rFonts w:ascii="Calibri" w:cs="Calibri" w:eastAsia="Calibri" w:hAnsi="Calibri"/>
                <w:b/>
                <w:bCs/>
                <w:color w:val="0D7377"/>
                <w:sz w:val="20"/>
                <w:szCs w:val="20"/>
              </w:rPr>
              <w:t xml:space="preserve">EfficientNetB0</w:t>
            </w:r>
          </w:p>
        </w:tc>
        <w:tc>
          <w:tcPr>
            <w:tcW w:type="dxa" w:w="2200"/>
            <w:tcBorders>
              <w:top w:val="single" w:color="E2EDF0" w:sz="1"/>
              <w:left w:val="single" w:color="E2EDF0" w:sz="1"/>
              <w:bottom w:val="single" w:color="E2EDF0" w:sz="1"/>
              <w:right w:val="single" w:color="E2EDF0" w:sz="1"/>
            </w:tcBorders>
            <w:shd w:fill="EAF9F0"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5.3M</w:t>
            </w:r>
          </w:p>
        </w:tc>
        <w:tc>
          <w:tcPr>
            <w:tcW w:type="dxa" w:w="2200"/>
            <w:tcBorders>
              <w:top w:val="single" w:color="E2EDF0" w:sz="1"/>
              <w:left w:val="single" w:color="E2EDF0" w:sz="1"/>
              <w:bottom w:val="single" w:color="E2EDF0" w:sz="1"/>
              <w:right w:val="single" w:color="E2EDF0" w:sz="1"/>
            </w:tcBorders>
            <w:shd w:fill="EAF9F0"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77.1%</w:t>
            </w:r>
          </w:p>
        </w:tc>
        <w:tc>
          <w:tcPr>
            <w:tcW w:type="dxa" w:w="2426"/>
            <w:tcBorders>
              <w:top w:val="single" w:color="E2EDF0" w:sz="1"/>
              <w:left w:val="single" w:color="E2EDF0" w:sz="1"/>
              <w:bottom w:val="single" w:color="E2EDF0" w:sz="1"/>
              <w:right w:val="single" w:color="E2EDF0" w:sz="1"/>
            </w:tcBorders>
            <w:shd w:fill="EAF9F0"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Best accuracy-to-size ratio — ideal for medical imaging with limited data</w:t>
            </w:r>
          </w:p>
        </w:tc>
      </w:tr>
      <w:tr>
        <w:tc>
          <w:tcPr>
            <w:tcW w:type="dxa" w:w="2200"/>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ResNet50</w:t>
            </w:r>
          </w:p>
        </w:tc>
        <w:tc>
          <w:tcPr>
            <w:tcW w:type="dxa" w:w="2200"/>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25.6M</w:t>
            </w:r>
          </w:p>
        </w:tc>
        <w:tc>
          <w:tcPr>
            <w:tcW w:type="dxa" w:w="2200"/>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76.0%</w:t>
            </w:r>
          </w:p>
        </w:tc>
        <w:tc>
          <w:tcPr>
            <w:tcW w:type="dxa" w:w="2426"/>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Heavier model, requires more data and compute to fine-tune effectively</w:t>
            </w:r>
          </w:p>
        </w:tc>
      </w:tr>
      <w:tr>
        <w:tc>
          <w:tcPr>
            <w:tcW w:type="dxa" w:w="2200"/>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VGG16</w:t>
            </w:r>
          </w:p>
        </w:tc>
        <w:tc>
          <w:tcPr>
            <w:tcW w:type="dxa" w:w="2200"/>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138M</w:t>
            </w:r>
          </w:p>
        </w:tc>
        <w:tc>
          <w:tcPr>
            <w:tcW w:type="dxa" w:w="2200"/>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71.3%</w:t>
            </w:r>
          </w:p>
        </w:tc>
        <w:tc>
          <w:tcPr>
            <w:tcW w:type="dxa" w:w="2426"/>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Very large, slow to train, poor performance on small medical datasets</w:t>
            </w:r>
          </w:p>
        </w:tc>
      </w:tr>
      <w:tr>
        <w:tc>
          <w:tcPr>
            <w:tcW w:type="dxa" w:w="2200"/>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MobileNetV2</w:t>
            </w:r>
          </w:p>
        </w:tc>
        <w:tc>
          <w:tcPr>
            <w:tcW w:type="dxa" w:w="2200"/>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3.4M</w:t>
            </w:r>
          </w:p>
        </w:tc>
        <w:tc>
          <w:tcPr>
            <w:tcW w:type="dxa" w:w="2200"/>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71.8%</w:t>
            </w:r>
          </w:p>
        </w:tc>
        <w:tc>
          <w:tcPr>
            <w:tcW w:type="dxa" w:w="2426"/>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Lighter but lower accuracy — not optimal for critical medical decisions</w:t>
            </w:r>
          </w:p>
        </w:tc>
      </w:tr>
    </w:tbl>
    <w:p>
      <w:pPr>
        <w:spacing w:before="0" w:after="240"/>
      </w:pPr>
      <w:r>
        <w:t xml:space="preserve"/>
      </w:r>
    </w:p>
    <w:p>
      <w:pPr>
        <w:spacing w:before="0" w:after="180"/>
        <w:jc w:val="both"/>
      </w:pPr>
      <w:r>
        <w:rPr>
          <w:rFonts w:ascii="Calibri" w:cs="Calibri" w:eastAsia="Calibri" w:hAnsi="Calibri"/>
          <w:color w:val="2D3748"/>
          <w:sz w:val="23"/>
          <w:szCs w:val="23"/>
        </w:rPr>
        <w:t xml:space="preserve">EfficientNetB0 achieves the best balance between model size, computational cost, and classification accuracy. Its compact parameter count (5.3M) is particularly advantageous when fine-tuning on a limited medical imaging dataset, as it reduces the risk of overfitting while preserving strong representational capacity.</w:t>
      </w:r>
    </w:p>
    <w:p>
      <w:pPr>
        <w:spacing w:before="0" w:after="120"/>
      </w:pPr>
      <w:r>
        <w:t xml:space="preserve"/>
      </w:r>
    </w:p>
    <w:p>
      <w:pPr>
        <w:pStyle w:val="Heading3"/>
        <w:spacing w:before="280" w:after="100"/>
      </w:pPr>
      <w:r>
        <w:rPr>
          <w:rFonts w:ascii="Calibri" w:cs="Calibri" w:eastAsia="Calibri" w:hAnsi="Calibri"/>
          <w:b/>
          <w:bCs/>
          <w:color w:val="0D7377"/>
          <w:sz w:val="26"/>
          <w:szCs w:val="26"/>
        </w:rPr>
        <w:t xml:space="preserve">4.2  </w:t>
      </w:r>
      <w:r>
        <w:rPr>
          <w:rFonts w:ascii="Calibri" w:cs="Calibri" w:eastAsia="Calibri" w:hAnsi="Calibri"/>
          <w:b/>
          <w:bCs/>
          <w:color w:val="1B2A4A"/>
          <w:sz w:val="26"/>
          <w:szCs w:val="26"/>
        </w:rPr>
        <w:t xml:space="preserve">Network Architecture</w:t>
      </w:r>
    </w:p>
    <w:p>
      <w:pPr>
        <w:spacing w:before="0" w:after="180"/>
        <w:jc w:val="both"/>
      </w:pPr>
      <w:r>
        <w:rPr>
          <w:rFonts w:ascii="Calibri" w:cs="Calibri" w:eastAsia="Calibri" w:hAnsi="Calibri"/>
          <w:color w:val="2D3748"/>
          <w:sz w:val="23"/>
          <w:szCs w:val="23"/>
        </w:rPr>
        <w:t xml:space="preserve">The final model architecture combines the pretrained EfficientNetB0 feature extractor with a custom classification head designed specifically for binary stroke detection:</w:t>
      </w:r>
    </w:p>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none"/>
              <w:left w:val="single" w:color="334466" w:sz="1"/>
              <w:bottom w:val="single" w:color="D4A843" w:sz="4"/>
              <w:right w:val="single" w:color="334466" w:sz="1"/>
            </w:tcBorders>
            <w:shd w:fill="1B2A4A" w:val="clear"/>
            <w:tcMar>
              <w:top w:type="dxa" w:w="100"/>
              <w:left w:type="dxa" w:w="120"/>
              <w:bottom w:type="dxa" w:w="100"/>
              <w:right w:type="dxa" w:w="80"/>
            </w:tcMar>
          </w:tcPr>
          <w:p>
            <w:r>
              <w:rPr>
                <w:rFonts w:ascii="Calibri" w:cs="Calibri" w:eastAsia="Calibri" w:hAnsi="Calibri"/>
                <w:b/>
                <w:bCs/>
                <w:color w:val="FFFFFF"/>
                <w:sz w:val="20"/>
                <w:szCs w:val="20"/>
              </w:rPr>
              <w:t xml:space="preserve">Layer</w:t>
            </w:r>
          </w:p>
        </w:tc>
        <w:tc>
          <w:tcPr>
            <w:tcW w:type="dxa" w:w="3500"/>
            <w:tcBorders>
              <w:top w:val="none"/>
              <w:left w:val="single" w:color="334466" w:sz="1"/>
              <w:bottom w:val="single" w:color="D4A843" w:sz="4"/>
              <w:right w:val="single" w:color="334466" w:sz="1"/>
            </w:tcBorders>
            <w:shd w:fill="1B2A4A" w:val="clear"/>
            <w:tcMar>
              <w:top w:type="dxa" w:w="100"/>
              <w:left w:type="dxa" w:w="120"/>
              <w:bottom w:type="dxa" w:w="100"/>
              <w:right w:type="dxa" w:w="80"/>
            </w:tcMar>
          </w:tcPr>
          <w:p>
            <w:r>
              <w:rPr>
                <w:rFonts w:ascii="Calibri" w:cs="Calibri" w:eastAsia="Calibri" w:hAnsi="Calibri"/>
                <w:b/>
                <w:bCs/>
                <w:color w:val="FFFFFF"/>
                <w:sz w:val="20"/>
                <w:szCs w:val="20"/>
              </w:rPr>
              <w:t xml:space="preserve">Details</w:t>
            </w:r>
          </w:p>
        </w:tc>
        <w:tc>
          <w:tcPr>
            <w:tcW w:type="dxa" w:w="3526"/>
            <w:tcBorders>
              <w:top w:val="none"/>
              <w:left w:val="single" w:color="334466" w:sz="1"/>
              <w:bottom w:val="single" w:color="D4A843" w:sz="4"/>
              <w:right w:val="single" w:color="334466" w:sz="1"/>
            </w:tcBorders>
            <w:shd w:fill="1B2A4A" w:val="clear"/>
            <w:tcMar>
              <w:top w:type="dxa" w:w="100"/>
              <w:left w:type="dxa" w:w="120"/>
              <w:bottom w:type="dxa" w:w="100"/>
              <w:right w:type="dxa" w:w="80"/>
            </w:tcMar>
          </w:tcPr>
          <w:p>
            <w:r>
              <w:rPr>
                <w:rFonts w:ascii="Calibri" w:cs="Calibri" w:eastAsia="Calibri" w:hAnsi="Calibri"/>
                <w:b/>
                <w:bCs/>
                <w:color w:val="FFFFFF"/>
                <w:sz w:val="20"/>
                <w:szCs w:val="20"/>
              </w:rPr>
              <w:t xml:space="preserve">Purpose</w:t>
            </w:r>
          </w:p>
        </w:tc>
      </w:tr>
      <w:tr>
        <w:tc>
          <w:tcPr>
            <w:tcW w:type="dxa" w:w="2000"/>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bCs/>
                <w:color w:val="0D7377"/>
                <w:sz w:val="20"/>
                <w:szCs w:val="20"/>
              </w:rPr>
              <w:t xml:space="preserve">Input Layer</w:t>
            </w:r>
          </w:p>
        </w:tc>
        <w:tc>
          <w:tcPr>
            <w:tcW w:type="dxa" w:w="3500"/>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224 × 224 × 3 (RGB)</w:t>
            </w:r>
          </w:p>
        </w:tc>
        <w:tc>
          <w:tcPr>
            <w:tcW w:type="dxa" w:w="3526"/>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Accepts CT scan images resized to standard dimensions</w:t>
            </w:r>
          </w:p>
        </w:tc>
      </w:tr>
      <w:tr>
        <w:tc>
          <w:tcPr>
            <w:tcW w:type="dxa" w:w="2000"/>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bCs/>
                <w:color w:val="0D7377"/>
                <w:sz w:val="20"/>
                <w:szCs w:val="20"/>
              </w:rPr>
              <w:t xml:space="preserve">EfficientNetB0 Base</w:t>
            </w:r>
          </w:p>
        </w:tc>
        <w:tc>
          <w:tcPr>
            <w:tcW w:type="dxa" w:w="3500"/>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Pretrained on ImageNet, frozen in Phase 1</w:t>
            </w:r>
          </w:p>
        </w:tc>
        <w:tc>
          <w:tcPr>
            <w:tcW w:type="dxa" w:w="3526"/>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Extracts deep visual features from CT scan textures</w:t>
            </w:r>
          </w:p>
        </w:tc>
      </w:tr>
      <w:tr>
        <w:tc>
          <w:tcPr>
            <w:tcW w:type="dxa" w:w="2000"/>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bCs/>
                <w:color w:val="0D7377"/>
                <w:sz w:val="20"/>
                <w:szCs w:val="20"/>
              </w:rPr>
              <w:t xml:space="preserve">GlobalAveragePooling2D</w:t>
            </w:r>
          </w:p>
        </w:tc>
        <w:tc>
          <w:tcPr>
            <w:tcW w:type="dxa" w:w="3500"/>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Reduces feature map to 1D vector</w:t>
            </w:r>
          </w:p>
        </w:tc>
        <w:tc>
          <w:tcPr>
            <w:tcW w:type="dxa" w:w="3526"/>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Converts spatial features into a compact representation</w:t>
            </w:r>
          </w:p>
        </w:tc>
      </w:tr>
      <w:tr>
        <w:tc>
          <w:tcPr>
            <w:tcW w:type="dxa" w:w="2000"/>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bCs/>
                <w:color w:val="0D7377"/>
                <w:sz w:val="20"/>
                <w:szCs w:val="20"/>
              </w:rPr>
              <w:t xml:space="preserve">BatchNormalization</w:t>
            </w:r>
          </w:p>
        </w:tc>
        <w:tc>
          <w:tcPr>
            <w:tcW w:type="dxa" w:w="3500"/>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Normalizes activations</w:t>
            </w:r>
          </w:p>
        </w:tc>
        <w:tc>
          <w:tcPr>
            <w:tcW w:type="dxa" w:w="3526"/>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Stabilizes training and accelerates convergence</w:t>
            </w:r>
          </w:p>
        </w:tc>
      </w:tr>
      <w:tr>
        <w:tc>
          <w:tcPr>
            <w:tcW w:type="dxa" w:w="2000"/>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bCs/>
                <w:color w:val="0D7377"/>
                <w:sz w:val="20"/>
                <w:szCs w:val="20"/>
              </w:rPr>
              <w:t xml:space="preserve">Dense (256, ReLU)</w:t>
            </w:r>
          </w:p>
        </w:tc>
        <w:tc>
          <w:tcPr>
            <w:tcW w:type="dxa" w:w="3500"/>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256 neurons, ReLU activation</w:t>
            </w:r>
          </w:p>
        </w:tc>
        <w:tc>
          <w:tcPr>
            <w:tcW w:type="dxa" w:w="3526"/>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Learns high-level stroke-specific feature combinations</w:t>
            </w:r>
          </w:p>
        </w:tc>
      </w:tr>
      <w:tr>
        <w:tc>
          <w:tcPr>
            <w:tcW w:type="dxa" w:w="2000"/>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bCs/>
                <w:color w:val="0D7377"/>
                <w:sz w:val="20"/>
                <w:szCs w:val="20"/>
              </w:rPr>
              <w:t xml:space="preserve">Dropout (0.4)</w:t>
            </w:r>
          </w:p>
        </w:tc>
        <w:tc>
          <w:tcPr>
            <w:tcW w:type="dxa" w:w="3500"/>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40% neurons dropped during training</w:t>
            </w:r>
          </w:p>
        </w:tc>
        <w:tc>
          <w:tcPr>
            <w:tcW w:type="dxa" w:w="3526"/>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Prevents overfitting on the limited medical dataset</w:t>
            </w:r>
          </w:p>
        </w:tc>
      </w:tr>
      <w:tr>
        <w:tc>
          <w:tcPr>
            <w:tcW w:type="dxa" w:w="2000"/>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bCs/>
                <w:color w:val="0D7377"/>
                <w:sz w:val="20"/>
                <w:szCs w:val="20"/>
              </w:rPr>
              <w:t xml:space="preserve">Dense (128, ReLU)</w:t>
            </w:r>
          </w:p>
        </w:tc>
        <w:tc>
          <w:tcPr>
            <w:tcW w:type="dxa" w:w="3500"/>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128 neurons, ReLU activation</w:t>
            </w:r>
          </w:p>
        </w:tc>
        <w:tc>
          <w:tcPr>
            <w:tcW w:type="dxa" w:w="3526"/>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Further refines learned representations</w:t>
            </w:r>
          </w:p>
        </w:tc>
      </w:tr>
      <w:tr>
        <w:tc>
          <w:tcPr>
            <w:tcW w:type="dxa" w:w="2000"/>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bCs/>
                <w:color w:val="0D7377"/>
                <w:sz w:val="20"/>
                <w:szCs w:val="20"/>
              </w:rPr>
              <w:t xml:space="preserve">Dropout (0.3)</w:t>
            </w:r>
          </w:p>
        </w:tc>
        <w:tc>
          <w:tcPr>
            <w:tcW w:type="dxa" w:w="3500"/>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30% neurons dropped during training</w:t>
            </w:r>
          </w:p>
        </w:tc>
        <w:tc>
          <w:tcPr>
            <w:tcW w:type="dxa" w:w="3526"/>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Additional regularization layer</w:t>
            </w:r>
          </w:p>
        </w:tc>
      </w:tr>
      <w:tr>
        <w:tc>
          <w:tcPr>
            <w:tcW w:type="dxa" w:w="2000"/>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bCs/>
                <w:color w:val="0D7377"/>
                <w:sz w:val="20"/>
                <w:szCs w:val="20"/>
              </w:rPr>
              <w:t xml:space="preserve">Dense (1, Sigmoid)</w:t>
            </w:r>
          </w:p>
        </w:tc>
        <w:tc>
          <w:tcPr>
            <w:tcW w:type="dxa" w:w="3500"/>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Single output neuron, Sigmoid activation</w:t>
            </w:r>
          </w:p>
        </w:tc>
        <w:tc>
          <w:tcPr>
            <w:tcW w:type="dxa" w:w="3526"/>
            <w:tcBorders>
              <w:top w:val="single" w:color="E2EDF0" w:sz="1"/>
              <w:left w:val="single" w:color="E2EDF0" w:sz="1"/>
              <w:bottom w:val="single" w:color="E2EDF0" w:sz="1"/>
              <w:right w:val="single" w:color="E2EDF0" w:sz="1"/>
            </w:tcBorders>
            <w:shd w:fill="F0FAFA"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Outputs stroke probability score between 0 and 1</w:t>
            </w:r>
          </w:p>
        </w:tc>
      </w:tr>
    </w:tbl>
    <w:p>
      <w:pPr>
        <w:spacing w:before="0"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BBCC" w:sz="4"/>
              <w:left w:val="dashed" w:color="AABBCC" w:sz="4"/>
              <w:bottom w:val="dashed" w:color="AABBCC" w:sz="4"/>
              <w:right w:val="dashed" w:color="AABBCC" w:sz="4"/>
            </w:tcBorders>
            <w:shd w:fill="F5F7FA" w:val="clear"/>
            <w:tcMar>
              <w:top w:type="dxa" w:w="200"/>
              <w:left w:type="dxa" w:w="200"/>
              <w:bottom w:type="dxa" w:w="200"/>
              <w:right w:type="dxa" w:w="200"/>
            </w:tcMar>
          </w:tcPr>
          <w:p>
            <w:pPr>
              <w:spacing w:before="80" w:after="40"/>
              <w:jc w:val="center"/>
            </w:pPr>
            <w:r>
              <w:rPr>
                <w:rFonts w:ascii="Calibri" w:cs="Calibri" w:eastAsia="Calibri" w:hAnsi="Calibri"/>
                <w:i/>
                <w:iCs/>
                <w:color w:val="AABBCC"/>
                <w:sz w:val="22"/>
                <w:szCs w:val="22"/>
              </w:rPr>
              <w:t xml:space="preserve">[ Figure Placeholder ]</w:t>
            </w:r>
          </w:p>
          <w:p>
            <w:pPr>
              <w:spacing w:before="0" w:after="80"/>
              <w:jc w:val="center"/>
            </w:pPr>
            <w:r>
              <w:rPr>
                <w:rFonts w:ascii="Calibri" w:cs="Calibri" w:eastAsia="Calibri" w:hAnsi="Calibri"/>
                <w:b/>
                <w:bCs/>
                <w:color w:val="8899AA"/>
                <w:sz w:val="20"/>
                <w:szCs w:val="20"/>
              </w:rPr>
              <w:t xml:space="preserve">Figure 3 — Model architecture diagram: EfficientNetB0 base + custom classification head</w:t>
            </w:r>
          </w:p>
        </w:tc>
      </w:tr>
    </w:tbl>
    <w:p>
      <w:pPr>
        <w:spacing w:before="0" w:after="200"/>
      </w:pPr>
      <w:r>
        <w:t xml:space="preserve"/>
      </w:r>
    </w:p>
    <w:p>
      <w:pPr>
        <w:pStyle w:val="Heading2"/>
        <w:spacing w:before="360" w:after="160"/>
      </w:pPr>
      <w:r>
        <w:rPr>
          <w:rFonts w:ascii="Calibri" w:cs="Calibri" w:eastAsia="Calibri" w:hAnsi="Calibri"/>
          <w:b/>
          <w:bCs/>
          <w:color w:val="D4A843"/>
          <w:sz w:val="30"/>
          <w:szCs w:val="30"/>
        </w:rPr>
        <w:t xml:space="preserve">5  </w:t>
      </w:r>
      <w:r>
        <w:rPr>
          <w:rFonts w:ascii="Calibri" w:cs="Calibri" w:eastAsia="Calibri" w:hAnsi="Calibri"/>
          <w:b/>
          <w:bCs/>
          <w:color w:val="1B2A4A"/>
          <w:sz w:val="30"/>
          <w:szCs w:val="30"/>
        </w:rPr>
        <w:t xml:space="preserve">Transfer Learning Strategy</w:t>
      </w:r>
    </w:p>
    <w:p>
      <w:pPr>
        <w:pBdr>
          <w:bottom w:val="single" w:color="0D7377" w:sz="4" w:space="1"/>
        </w:pBdr>
        <w:spacing w:before="0" w:after="0"/>
      </w:pPr>
      <w:r>
        <w:t xml:space="preserve"/>
      </w:r>
    </w:p>
    <w:p>
      <w:pPr>
        <w:spacing w:before="0" w:after="160"/>
      </w:pPr>
      <w:r>
        <w:t xml:space="preserve"/>
      </w:r>
    </w:p>
    <w:p>
      <w:pPr>
        <w:spacing w:before="0" w:after="180"/>
        <w:jc w:val="both"/>
      </w:pPr>
      <w:r>
        <w:rPr>
          <w:rFonts w:ascii="Calibri" w:cs="Calibri" w:eastAsia="Calibri" w:hAnsi="Calibri"/>
          <w:color w:val="2D3748"/>
          <w:sz w:val="23"/>
          <w:szCs w:val="23"/>
        </w:rPr>
        <w:t xml:space="preserve">Transfer learning is the practice of initializing a model with weights learned on a large source dataset (ImageNet) and then adapting it to a smaller target dataset (CT scans). This approach is essential in medical imaging, where labeled data is scarce and training from scratch would require millions of examples.</w:t>
      </w:r>
    </w:p>
    <w:p>
      <w:pPr>
        <w:spacing w:before="0" w:after="180"/>
        <w:jc w:val="both"/>
      </w:pPr>
      <w:r>
        <w:rPr>
          <w:rFonts w:ascii="Calibri" w:cs="Calibri" w:eastAsia="Calibri" w:hAnsi="Calibri"/>
          <w:color w:val="2D3748"/>
          <w:sz w:val="23"/>
          <w:szCs w:val="23"/>
        </w:rPr>
        <w:t xml:space="preserve">ImageNet-pretrained models have learned rich hierarchical visual representations — edges, textures, shapes, and complex patterns — in their lower and middle layers. These generic features transfer effectively to medical images, where the model needs to detect low-level patterns such as hyperdense lesions and tissue boundaries.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1600"/>
        <w:gridCol w:w="2226"/>
      </w:tblGrid>
      <w:tr>
        <w:trPr>
          <w:tblHeader/>
        </w:trPr>
        <w:tc>
          <w:tcPr>
            <w:tcW w:type="dxa" w:w="1400"/>
            <w:tcBorders>
              <w:top w:val="none"/>
              <w:left w:val="single" w:color="334466" w:sz="1"/>
              <w:bottom w:val="single" w:color="D4A843" w:sz="4"/>
              <w:right w:val="single" w:color="334466" w:sz="1"/>
            </w:tcBorders>
            <w:shd w:fill="1B2A4A" w:val="clear"/>
            <w:tcMar>
              <w:top w:type="dxa" w:w="100"/>
              <w:left w:type="dxa" w:w="120"/>
              <w:bottom w:type="dxa" w:w="100"/>
              <w:right w:type="dxa" w:w="80"/>
            </w:tcMar>
          </w:tcPr>
          <w:p>
            <w:r>
              <w:rPr>
                <w:rFonts w:ascii="Calibri" w:cs="Calibri" w:eastAsia="Calibri" w:hAnsi="Calibri"/>
                <w:b/>
                <w:bCs/>
                <w:color w:val="FFFFFF"/>
                <w:sz w:val="20"/>
                <w:szCs w:val="20"/>
              </w:rPr>
              <w:t xml:space="preserve">Phase</w:t>
            </w:r>
          </w:p>
        </w:tc>
        <w:tc>
          <w:tcPr>
            <w:tcW w:type="dxa" w:w="2000"/>
            <w:tcBorders>
              <w:top w:val="none"/>
              <w:left w:val="single" w:color="334466" w:sz="1"/>
              <w:bottom w:val="single" w:color="D4A843" w:sz="4"/>
              <w:right w:val="single" w:color="334466" w:sz="1"/>
            </w:tcBorders>
            <w:shd w:fill="1B2A4A" w:val="clear"/>
            <w:tcMar>
              <w:top w:type="dxa" w:w="100"/>
              <w:left w:type="dxa" w:w="120"/>
              <w:bottom w:type="dxa" w:w="100"/>
              <w:right w:type="dxa" w:w="80"/>
            </w:tcMar>
          </w:tcPr>
          <w:p>
            <w:r>
              <w:rPr>
                <w:rFonts w:ascii="Calibri" w:cs="Calibri" w:eastAsia="Calibri" w:hAnsi="Calibri"/>
                <w:b/>
                <w:bCs/>
                <w:color w:val="FFFFFF"/>
                <w:sz w:val="20"/>
                <w:szCs w:val="20"/>
              </w:rPr>
              <w:t xml:space="preserve">Layers Trained</w:t>
            </w:r>
          </w:p>
        </w:tc>
        <w:tc>
          <w:tcPr>
            <w:tcW w:type="dxa" w:w="1800"/>
            <w:tcBorders>
              <w:top w:val="none"/>
              <w:left w:val="single" w:color="334466" w:sz="1"/>
              <w:bottom w:val="single" w:color="D4A843" w:sz="4"/>
              <w:right w:val="single" w:color="334466" w:sz="1"/>
            </w:tcBorders>
            <w:shd w:fill="1B2A4A" w:val="clear"/>
            <w:tcMar>
              <w:top w:type="dxa" w:w="100"/>
              <w:left w:type="dxa" w:w="120"/>
              <w:bottom w:type="dxa" w:w="100"/>
              <w:right w:type="dxa" w:w="80"/>
            </w:tcMar>
          </w:tcPr>
          <w:p>
            <w:r>
              <w:rPr>
                <w:rFonts w:ascii="Calibri" w:cs="Calibri" w:eastAsia="Calibri" w:hAnsi="Calibri"/>
                <w:b/>
                <w:bCs/>
                <w:color w:val="FFFFFF"/>
                <w:sz w:val="20"/>
                <w:szCs w:val="20"/>
              </w:rPr>
              <w:t xml:space="preserve">Learning Rate</w:t>
            </w:r>
          </w:p>
        </w:tc>
        <w:tc>
          <w:tcPr>
            <w:tcW w:type="dxa" w:w="1600"/>
            <w:tcBorders>
              <w:top w:val="none"/>
              <w:left w:val="single" w:color="334466" w:sz="1"/>
              <w:bottom w:val="single" w:color="D4A843" w:sz="4"/>
              <w:right w:val="single" w:color="334466" w:sz="1"/>
            </w:tcBorders>
            <w:shd w:fill="1B2A4A" w:val="clear"/>
            <w:tcMar>
              <w:top w:type="dxa" w:w="100"/>
              <w:left w:type="dxa" w:w="120"/>
              <w:bottom w:type="dxa" w:w="100"/>
              <w:right w:type="dxa" w:w="80"/>
            </w:tcMar>
          </w:tcPr>
          <w:p>
            <w:r>
              <w:rPr>
                <w:rFonts w:ascii="Calibri" w:cs="Calibri" w:eastAsia="Calibri" w:hAnsi="Calibri"/>
                <w:b/>
                <w:bCs/>
                <w:color w:val="FFFFFF"/>
                <w:sz w:val="20"/>
                <w:szCs w:val="20"/>
              </w:rPr>
              <w:t xml:space="preserve">Max Epochs</w:t>
            </w:r>
          </w:p>
        </w:tc>
        <w:tc>
          <w:tcPr>
            <w:tcW w:type="dxa" w:w="2226"/>
            <w:tcBorders>
              <w:top w:val="none"/>
              <w:left w:val="single" w:color="334466" w:sz="1"/>
              <w:bottom w:val="single" w:color="D4A843" w:sz="4"/>
              <w:right w:val="single" w:color="334466" w:sz="1"/>
            </w:tcBorders>
            <w:shd w:fill="1B2A4A" w:val="clear"/>
            <w:tcMar>
              <w:top w:type="dxa" w:w="100"/>
              <w:left w:type="dxa" w:w="120"/>
              <w:bottom w:type="dxa" w:w="100"/>
              <w:right w:type="dxa" w:w="80"/>
            </w:tcMar>
          </w:tcPr>
          <w:p>
            <w:r>
              <w:rPr>
                <w:rFonts w:ascii="Calibri" w:cs="Calibri" w:eastAsia="Calibri" w:hAnsi="Calibri"/>
                <w:b/>
                <w:bCs/>
                <w:color w:val="FFFFFF"/>
                <w:sz w:val="20"/>
                <w:szCs w:val="20"/>
              </w:rPr>
              <w:t xml:space="preserve">Objective</w:t>
            </w:r>
          </w:p>
        </w:tc>
      </w:tr>
      <w:tr>
        <w:tc>
          <w:tcPr>
            <w:tcW w:type="dxa" w:w="1400"/>
            <w:tcBorders>
              <w:top w:val="single" w:color="E2EDF0" w:sz="1"/>
              <w:left w:val="single" w:color="E2EDF0" w:sz="1"/>
              <w:bottom w:val="single" w:color="E2EDF0" w:sz="1"/>
              <w:right w:val="single" w:color="E2EDF0" w:sz="1"/>
            </w:tcBorders>
            <w:shd w:fill="EAF9F0" w:val="clear"/>
            <w:tcMar>
              <w:top w:type="dxa" w:w="80"/>
              <w:left w:type="dxa" w:w="120"/>
              <w:bottom w:type="dxa" w:w="80"/>
              <w:right w:type="dxa" w:w="80"/>
            </w:tcMar>
            <w:vAlign w:val="center"/>
          </w:tcPr>
          <w:p>
            <w:r>
              <w:rPr>
                <w:rFonts w:ascii="Calibri" w:cs="Calibri" w:eastAsia="Calibri" w:hAnsi="Calibri"/>
                <w:b/>
                <w:bCs/>
                <w:color w:val="0D7377"/>
                <w:sz w:val="20"/>
                <w:szCs w:val="20"/>
              </w:rPr>
              <w:t xml:space="preserve">Phase 1 — Head Training</w:t>
            </w:r>
          </w:p>
        </w:tc>
        <w:tc>
          <w:tcPr>
            <w:tcW w:type="dxa" w:w="2000"/>
            <w:tcBorders>
              <w:top w:val="single" w:color="E2EDF0" w:sz="1"/>
              <w:left w:val="single" w:color="E2EDF0" w:sz="1"/>
              <w:bottom w:val="single" w:color="E2EDF0" w:sz="1"/>
              <w:right w:val="single" w:color="E2EDF0" w:sz="1"/>
            </w:tcBorders>
            <w:shd w:fill="EAF9F0"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New head only (base frozen)</w:t>
            </w:r>
          </w:p>
        </w:tc>
        <w:tc>
          <w:tcPr>
            <w:tcW w:type="dxa" w:w="1800"/>
            <w:tcBorders>
              <w:top w:val="single" w:color="E2EDF0" w:sz="1"/>
              <w:left w:val="single" w:color="E2EDF0" w:sz="1"/>
              <w:bottom w:val="single" w:color="E2EDF0" w:sz="1"/>
              <w:right w:val="single" w:color="E2EDF0" w:sz="1"/>
            </w:tcBorders>
            <w:shd w:fill="EAF9F0"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1 × 10⁻³</w:t>
            </w:r>
          </w:p>
        </w:tc>
        <w:tc>
          <w:tcPr>
            <w:tcW w:type="dxa" w:w="1600"/>
            <w:tcBorders>
              <w:top w:val="single" w:color="E2EDF0" w:sz="1"/>
              <w:left w:val="single" w:color="E2EDF0" w:sz="1"/>
              <w:bottom w:val="single" w:color="E2EDF0" w:sz="1"/>
              <w:right w:val="single" w:color="E2EDF0" w:sz="1"/>
            </w:tcBorders>
            <w:shd w:fill="EAF9F0"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20</w:t>
            </w:r>
          </w:p>
        </w:tc>
        <w:tc>
          <w:tcPr>
            <w:tcW w:type="dxa" w:w="2226"/>
            <w:tcBorders>
              <w:top w:val="single" w:color="E2EDF0" w:sz="1"/>
              <w:left w:val="single" w:color="E2EDF0" w:sz="1"/>
              <w:bottom w:val="single" w:color="E2EDF0" w:sz="1"/>
              <w:right w:val="single" w:color="E2EDF0" w:sz="1"/>
            </w:tcBorders>
            <w:shd w:fill="EAF9F0"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Teach the new head to recognize stroke patterns without disturbing pretrained weights</w:t>
            </w:r>
          </w:p>
        </w:tc>
      </w:tr>
      <w:tr>
        <w:tc>
          <w:tcPr>
            <w:tcW w:type="dxa" w:w="1400"/>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bCs/>
                <w:color w:val="0D7377"/>
                <w:sz w:val="20"/>
                <w:szCs w:val="20"/>
              </w:rPr>
              <w:t xml:space="preserve">Phase 2 — Fine-Tuning</w:t>
            </w:r>
          </w:p>
        </w:tc>
        <w:tc>
          <w:tcPr>
            <w:tcW w:type="dxa" w:w="2000"/>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Head + top 30 layers of base</w:t>
            </w:r>
          </w:p>
        </w:tc>
        <w:tc>
          <w:tcPr>
            <w:tcW w:type="dxa" w:w="1800"/>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1 × 10⁻⁴</w:t>
            </w:r>
          </w:p>
        </w:tc>
        <w:tc>
          <w:tcPr>
            <w:tcW w:type="dxa" w:w="1600"/>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30</w:t>
            </w:r>
          </w:p>
        </w:tc>
        <w:tc>
          <w:tcPr>
            <w:tcW w:type="dxa" w:w="2226"/>
            <w:tcBorders>
              <w:top w:val="single" w:color="E2EDF0" w:sz="1"/>
              <w:left w:val="single" w:color="E2EDF0" w:sz="1"/>
              <w:bottom w:val="single" w:color="E2EDF0" w:sz="1"/>
              <w:right w:val="single" w:color="E2EDF0" w:sz="1"/>
            </w:tcBorders>
            <w:shd w:fill="FFFFFF" w:val="clear"/>
            <w:tcMar>
              <w:top w:type="dxa" w:w="80"/>
              <w:left w:type="dxa" w:w="120"/>
              <w:bottom w:type="dxa" w:w="80"/>
              <w:right w:type="dxa" w:w="80"/>
            </w:tcMar>
            <w:vAlign w:val="center"/>
          </w:tcPr>
          <w:p>
            <w:r>
              <w:rPr>
                <w:rFonts w:ascii="Calibri" w:cs="Calibri" w:eastAsia="Calibri" w:hAnsi="Calibri"/>
                <w:b w:val="false"/>
                <w:bCs w:val="false"/>
                <w:color w:val="3D4A5C"/>
                <w:sz w:val="20"/>
                <w:szCs w:val="20"/>
              </w:rPr>
              <w:t xml:space="preserve">Refine deep features specifically for CT scan characteristics and stroke morphology</w:t>
            </w:r>
          </w:p>
        </w:tc>
      </w:tr>
    </w:tbl>
    <w:p>
      <w:pPr>
        <w:spacing w:before="0" w:after="240"/>
      </w:pPr>
      <w:r>
        <w:t xml:space="preserve"/>
      </w:r>
    </w:p>
    <w:p>
      <w:pPr>
        <w:pStyle w:val="Heading3"/>
        <w:spacing w:before="280" w:after="100"/>
      </w:pPr>
      <w:r>
        <w:rPr>
          <w:rFonts w:ascii="Calibri" w:cs="Calibri" w:eastAsia="Calibri" w:hAnsi="Calibri"/>
          <w:b/>
          <w:bCs/>
          <w:color w:val="0D7377"/>
          <w:sz w:val="26"/>
          <w:szCs w:val="26"/>
        </w:rPr>
        <w:t xml:space="preserve">5.1  </w:t>
      </w:r>
      <w:r>
        <w:rPr>
          <w:rFonts w:ascii="Calibri" w:cs="Calibri" w:eastAsia="Calibri" w:hAnsi="Calibri"/>
          <w:b/>
          <w:bCs/>
          <w:color w:val="1B2A4A"/>
          <w:sz w:val="26"/>
          <w:szCs w:val="26"/>
        </w:rPr>
        <w:t xml:space="preserve">Phase 1 — Head Training</w:t>
      </w:r>
    </w:p>
    <w:p>
      <w:pPr>
        <w:spacing w:before="0" w:after="180"/>
        <w:jc w:val="both"/>
      </w:pPr>
      <w:r>
        <w:rPr>
          <w:rFonts w:ascii="Calibri" w:cs="Calibri" w:eastAsia="Calibri" w:hAnsi="Calibri"/>
          <w:color w:val="2D3748"/>
          <w:sz w:val="23"/>
          <w:szCs w:val="23"/>
        </w:rPr>
        <w:t xml:space="preserve">In Phase 1, all layers of the EfficientNetB0 base are frozen. Only the newly added classification head is trained. This prevents the carefully tuned ImageNet weights from being destroyed by the large gradient updates that occur at the beginning of training on a new dataset. The learning rate is set to 1×10⁻³, appropriate for training a randomly initialized head.</w:t>
      </w:r>
    </w:p>
    <w:p>
      <w:pPr>
        <w:spacing w:before="0" w:after="180"/>
        <w:jc w:val="both"/>
      </w:pPr>
      <w:r>
        <w:rPr>
          <w:rFonts w:ascii="Calibri" w:cs="Calibri" w:eastAsia="Calibri" w:hAnsi="Calibri"/>
          <w:color w:val="2D3748"/>
          <w:sz w:val="23"/>
          <w:szCs w:val="23"/>
        </w:rPr>
        <w:t xml:space="preserve">Phase 1 runs for a maximum of 20 epochs with early stopping monitoring validation AUC. In practice, training typically converges within 8–12 epochs.</w:t>
      </w:r>
    </w:p>
    <w:p>
      <w:pPr>
        <w:spacing w:before="0" w:after="120"/>
      </w:pPr>
      <w:r>
        <w:t xml:space="preserve"/>
      </w:r>
    </w:p>
    <w:p>
      <w:pPr>
        <w:pStyle w:val="Heading3"/>
        <w:spacing w:before="280" w:after="100"/>
      </w:pPr>
      <w:r>
        <w:rPr>
          <w:rFonts w:ascii="Calibri" w:cs="Calibri" w:eastAsia="Calibri" w:hAnsi="Calibri"/>
          <w:b/>
          <w:bCs/>
          <w:color w:val="0D7377"/>
          <w:sz w:val="26"/>
          <w:szCs w:val="26"/>
        </w:rPr>
        <w:t xml:space="preserve">5.2  </w:t>
      </w:r>
      <w:r>
        <w:rPr>
          <w:rFonts w:ascii="Calibri" w:cs="Calibri" w:eastAsia="Calibri" w:hAnsi="Calibri"/>
          <w:b/>
          <w:bCs/>
          <w:color w:val="1B2A4A"/>
          <w:sz w:val="26"/>
          <w:szCs w:val="26"/>
        </w:rPr>
        <w:t xml:space="preserve">Phase 2 — Fine-Tuning</w:t>
      </w:r>
    </w:p>
    <w:p>
      <w:pPr>
        <w:spacing w:before="0" w:after="180"/>
        <w:jc w:val="both"/>
      </w:pPr>
      <w:r>
        <w:rPr>
          <w:rFonts w:ascii="Calibri" w:cs="Calibri" w:eastAsia="Calibri" w:hAnsi="Calibri"/>
          <w:color w:val="2D3748"/>
          <w:sz w:val="23"/>
          <w:szCs w:val="23"/>
        </w:rPr>
        <w:t xml:space="preserve">In Phase 2, the top 30 layers of the EfficientNetB0 base are unfrozen and trained alongside the head. This allows the model to adapt its high-level feature representations to the specific characteristics of CT scan imagery — textures, contrast patterns, and lesion morphology that differ from natural images.</w:t>
      </w:r>
    </w:p>
    <w:p>
      <w:pPr>
        <w:spacing w:before="0" w:after="200"/>
        <w:jc w:val="both"/>
      </w:pPr>
      <w:r>
        <w:rPr>
          <w:rFonts w:ascii="Calibri" w:cs="Calibri" w:eastAsia="Calibri" w:hAnsi="Calibri"/>
          <w:color w:val="2D3748"/>
          <w:sz w:val="23"/>
          <w:szCs w:val="23"/>
        </w:rPr>
        <w:t xml:space="preserve">The learning rate is reduced to 1×10⁻⁴ to make small, controlled updates to the pretrained weights without catastrophic forgetting. Phase 2 runs for a maximum of 30 epochs with early stopping and learning rate reduction on plateau.</w:t>
      </w:r>
    </w:p>
    <w:p>
      <w:pPr>
        <w:pStyle w:val="Heading2"/>
        <w:spacing w:before="360" w:after="160"/>
      </w:pPr>
      <w:r>
        <w:rPr>
          <w:rFonts w:ascii="Calibri" w:cs="Calibri" w:eastAsia="Calibri" w:hAnsi="Calibri"/>
          <w:b/>
          <w:bCs/>
          <w:color w:val="D4A843"/>
          <w:sz w:val="30"/>
          <w:szCs w:val="30"/>
        </w:rPr>
        <w:t xml:space="preserve">6  </w:t>
      </w:r>
      <w:r>
        <w:rPr>
          <w:rFonts w:ascii="Calibri" w:cs="Calibri" w:eastAsia="Calibri" w:hAnsi="Calibri"/>
          <w:b/>
          <w:bCs/>
          <w:color w:val="1B2A4A"/>
          <w:sz w:val="30"/>
          <w:szCs w:val="30"/>
        </w:rPr>
        <w:t xml:space="preserve">Training Configuration</w:t>
      </w:r>
    </w:p>
    <w:p>
      <w:pPr>
        <w:pBdr>
          <w:bottom w:val="single" w:color="0D7377" w:sz="4" w:space="1"/>
        </w:pBdr>
        <w:spacing w:before="0" w:after="0"/>
      </w:pPr>
      <w:r>
        <w:t xml:space="preserve"/>
      </w:r>
    </w:p>
    <w:p>
      <w:pPr>
        <w:spacing w:before="0" w:after="160"/>
      </w:pPr>
      <w:r>
        <w:t xml:space="preserve"/>
      </w:r>
    </w:p>
    <w:p>
      <w:pPr>
        <w:pStyle w:val="ListParagraph"/>
        <w:numPr>
          <w:ilvl w:val="0"/>
          <w:numId w:val="2"/>
        </w:numPr>
        <w:spacing w:before="80" w:after="100"/>
      </w:pPr>
      <w:r>
        <w:rPr>
          <w:rFonts w:ascii="Calibri" w:cs="Calibri" w:eastAsia="Calibri" w:hAnsi="Calibri"/>
          <w:b/>
          <w:bCs/>
          <w:color w:val="0D7377"/>
          <w:sz w:val="23"/>
          <w:szCs w:val="23"/>
        </w:rPr>
        <w:t xml:space="preserve">Loss Function: </w:t>
      </w:r>
      <w:r>
        <w:rPr>
          <w:rFonts w:ascii="Calibri" w:cs="Calibri" w:eastAsia="Calibri" w:hAnsi="Calibri"/>
          <w:color w:val="2D3748"/>
          <w:sz w:val="23"/>
          <w:szCs w:val="23"/>
        </w:rPr>
        <w:t xml:space="preserve">Binary Cross-Entropy — standard for binary classification tasks. Measures the difference between the predicted probability and the true label for each image.</w:t>
      </w:r>
    </w:p>
    <w:p>
      <w:pPr>
        <w:pStyle w:val="ListParagraph"/>
        <w:numPr>
          <w:ilvl w:val="0"/>
          <w:numId w:val="2"/>
        </w:numPr>
        <w:spacing w:before="80" w:after="100"/>
      </w:pPr>
      <w:r>
        <w:rPr>
          <w:rFonts w:ascii="Calibri" w:cs="Calibri" w:eastAsia="Calibri" w:hAnsi="Calibri"/>
          <w:b/>
          <w:bCs/>
          <w:color w:val="0D7377"/>
          <w:sz w:val="23"/>
          <w:szCs w:val="23"/>
        </w:rPr>
        <w:t xml:space="preserve">Optimizer: </w:t>
      </w:r>
      <w:r>
        <w:rPr>
          <w:rFonts w:ascii="Calibri" w:cs="Calibri" w:eastAsia="Calibri" w:hAnsi="Calibri"/>
          <w:color w:val="2D3748"/>
          <w:sz w:val="23"/>
          <w:szCs w:val="23"/>
        </w:rPr>
        <w:t xml:space="preserve">Adam (Adaptive Moment Estimation) — maintains individual adaptive learning rates for each parameter, providing fast and stable convergence.</w:t>
      </w:r>
    </w:p>
    <w:p>
      <w:pPr>
        <w:pStyle w:val="ListParagraph"/>
        <w:numPr>
          <w:ilvl w:val="0"/>
          <w:numId w:val="2"/>
        </w:numPr>
        <w:spacing w:before="80" w:after="100"/>
      </w:pPr>
      <w:r>
        <w:rPr>
          <w:rFonts w:ascii="Calibri" w:cs="Calibri" w:eastAsia="Calibri" w:hAnsi="Calibri"/>
          <w:b/>
          <w:bCs/>
          <w:color w:val="0D7377"/>
          <w:sz w:val="23"/>
          <w:szCs w:val="23"/>
        </w:rPr>
        <w:t xml:space="preserve">Metrics Monitored: </w:t>
      </w:r>
      <w:r>
        <w:rPr>
          <w:rFonts w:ascii="Calibri" w:cs="Calibri" w:eastAsia="Calibri" w:hAnsi="Calibri"/>
          <w:color w:val="2D3748"/>
          <w:sz w:val="23"/>
          <w:szCs w:val="23"/>
        </w:rPr>
        <w:t xml:space="preserve">Accuracy, AUC-ROC, Recall, and Precision — with AUC-ROC used as the primary metric for model selection, as it is threshold-independent and more robust than accuracy on imbalanced datasets.</w:t>
      </w:r>
    </w:p>
    <w:p>
      <w:pPr>
        <w:pStyle w:val="ListParagraph"/>
        <w:numPr>
          <w:ilvl w:val="0"/>
          <w:numId w:val="2"/>
        </w:numPr>
        <w:spacing w:before="80" w:after="100"/>
      </w:pPr>
      <w:r>
        <w:rPr>
          <w:rFonts w:ascii="Calibri" w:cs="Calibri" w:eastAsia="Calibri" w:hAnsi="Calibri"/>
          <w:b/>
          <w:bCs/>
          <w:color w:val="0D7377"/>
          <w:sz w:val="23"/>
          <w:szCs w:val="23"/>
        </w:rPr>
        <w:t xml:space="preserve">Early Stopping: </w:t>
      </w:r>
      <w:r>
        <w:rPr>
          <w:rFonts w:ascii="Calibri" w:cs="Calibri" w:eastAsia="Calibri" w:hAnsi="Calibri"/>
          <w:color w:val="2D3748"/>
          <w:sz w:val="23"/>
          <w:szCs w:val="23"/>
        </w:rPr>
        <w:t xml:space="preserve">Monitors validation AUC. Training halts if no improvement is observed for 5 consecutive epochs (Phase 1) or 7 epochs (Phase 2), restoring the best weights automatically.</w:t>
      </w:r>
    </w:p>
    <w:p>
      <w:pPr>
        <w:pStyle w:val="ListParagraph"/>
        <w:numPr>
          <w:ilvl w:val="0"/>
          <w:numId w:val="2"/>
        </w:numPr>
        <w:spacing w:before="80" w:after="100"/>
      </w:pPr>
      <w:r>
        <w:rPr>
          <w:rFonts w:ascii="Calibri" w:cs="Calibri" w:eastAsia="Calibri" w:hAnsi="Calibri"/>
          <w:b/>
          <w:bCs/>
          <w:color w:val="0D7377"/>
          <w:sz w:val="23"/>
          <w:szCs w:val="23"/>
        </w:rPr>
        <w:t xml:space="preserve">Learning Rate Reduction: </w:t>
      </w:r>
      <w:r>
        <w:rPr>
          <w:rFonts w:ascii="Calibri" w:cs="Calibri" w:eastAsia="Calibri" w:hAnsi="Calibri"/>
          <w:color w:val="2D3748"/>
          <w:sz w:val="23"/>
          <w:szCs w:val="23"/>
        </w:rPr>
        <w:t xml:space="preserve">Automatically reduces the learning rate by a factor of 0.3 if validation loss does not improve for 3 consecutive epochs.</w:t>
      </w:r>
    </w:p>
    <w:p>
      <w:pPr>
        <w:pStyle w:val="ListParagraph"/>
        <w:numPr>
          <w:ilvl w:val="0"/>
          <w:numId w:val="2"/>
        </w:numPr>
        <w:spacing w:before="80" w:after="100"/>
      </w:pPr>
      <w:r>
        <w:rPr>
          <w:rFonts w:ascii="Calibri" w:cs="Calibri" w:eastAsia="Calibri" w:hAnsi="Calibri"/>
          <w:b/>
          <w:bCs/>
          <w:color w:val="0D7377"/>
          <w:sz w:val="23"/>
          <w:szCs w:val="23"/>
        </w:rPr>
        <w:t xml:space="preserve">Model Checkpoint: </w:t>
      </w:r>
      <w:r>
        <w:rPr>
          <w:rFonts w:ascii="Calibri" w:cs="Calibri" w:eastAsia="Calibri" w:hAnsi="Calibri"/>
          <w:color w:val="2D3748"/>
          <w:sz w:val="23"/>
          <w:szCs w:val="23"/>
        </w:rPr>
        <w:t xml:space="preserve">The best model weights (by validation AUC) are saved at each phase, ensuring the final saved model is the optimal configuration found during training.</w:t>
      </w:r>
    </w:p>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BBCC" w:sz="4"/>
              <w:left w:val="dashed" w:color="AABBCC" w:sz="4"/>
              <w:bottom w:val="dashed" w:color="AABBCC" w:sz="4"/>
              <w:right w:val="dashed" w:color="AABBCC" w:sz="4"/>
            </w:tcBorders>
            <w:shd w:fill="F5F7FA" w:val="clear"/>
            <w:tcMar>
              <w:top w:type="dxa" w:w="200"/>
              <w:left w:type="dxa" w:w="200"/>
              <w:bottom w:type="dxa" w:w="200"/>
              <w:right w:type="dxa" w:w="200"/>
            </w:tcMar>
          </w:tcPr>
          <w:p>
            <w:pPr>
              <w:spacing w:before="80" w:after="40"/>
              <w:jc w:val="center"/>
            </w:pPr>
            <w:r>
              <w:rPr>
                <w:rFonts w:ascii="Calibri" w:cs="Calibri" w:eastAsia="Calibri" w:hAnsi="Calibri"/>
                <w:i/>
                <w:iCs/>
                <w:color w:val="AABBCC"/>
                <w:sz w:val="22"/>
                <w:szCs w:val="22"/>
              </w:rPr>
              <w:t xml:space="preserve">[ Figure Placeholder ]</w:t>
            </w:r>
          </w:p>
          <w:p>
            <w:pPr>
              <w:spacing w:before="0" w:after="80"/>
              <w:jc w:val="center"/>
            </w:pPr>
            <w:r>
              <w:rPr>
                <w:rFonts w:ascii="Calibri" w:cs="Calibri" w:eastAsia="Calibri" w:hAnsi="Calibri"/>
                <w:b/>
                <w:bCs/>
                <w:color w:val="8899AA"/>
                <w:sz w:val="20"/>
                <w:szCs w:val="20"/>
              </w:rPr>
              <w:t xml:space="preserve">Figure 4 — Training curves: Accuracy, Loss, and AUC-ROC across Phase 1 and Phase 2</w:t>
            </w:r>
          </w:p>
        </w:tc>
      </w:tr>
    </w:tbl>
    <w:p>
      <w:pPr>
        <w:spacing w:before="0" w:after="200"/>
      </w:pPr>
      <w:r>
        <w:t xml:space="preserve"/>
      </w:r>
    </w:p>
    <w:p>
      <w:pPr>
        <w:pStyle w:val="Heading2"/>
        <w:spacing w:before="360" w:after="160"/>
      </w:pPr>
      <w:r>
        <w:rPr>
          <w:rFonts w:ascii="Calibri" w:cs="Calibri" w:eastAsia="Calibri" w:hAnsi="Calibri"/>
          <w:b/>
          <w:bCs/>
          <w:color w:val="D4A843"/>
          <w:sz w:val="30"/>
          <w:szCs w:val="30"/>
        </w:rPr>
        <w:t xml:space="preserve">7  </w:t>
      </w:r>
      <w:r>
        <w:rPr>
          <w:rFonts w:ascii="Calibri" w:cs="Calibri" w:eastAsia="Calibri" w:hAnsi="Calibri"/>
          <w:b/>
          <w:bCs/>
          <w:color w:val="1B2A4A"/>
          <w:sz w:val="30"/>
          <w:szCs w:val="30"/>
        </w:rPr>
        <w:t xml:space="preserve">Model Evaluation</w:t>
      </w:r>
    </w:p>
    <w:p>
      <w:pPr>
        <w:pBdr>
          <w:bottom w:val="single" w:color="0D7377" w:sz="4" w:space="1"/>
        </w:pBdr>
        <w:spacing w:before="0" w:after="0"/>
      </w:pPr>
      <w:r>
        <w:t xml:space="preserve"/>
      </w:r>
    </w:p>
    <w:p>
      <w:pPr>
        <w:spacing w:before="0" w:after="160"/>
      </w:pPr>
      <w:r>
        <w:t xml:space="preserve"/>
      </w:r>
    </w:p>
    <w:p>
      <w:pPr>
        <w:spacing w:before="0" w:after="180"/>
        <w:jc w:val="both"/>
      </w:pPr>
      <w:r>
        <w:rPr>
          <w:rFonts w:ascii="Calibri" w:cs="Calibri" w:eastAsia="Calibri" w:hAnsi="Calibri"/>
          <w:color w:val="2D3748"/>
          <w:sz w:val="23"/>
          <w:szCs w:val="23"/>
        </w:rPr>
        <w:t xml:space="preserve">The trained model is evaluated on the held-out test set — a fixed collection of original, unaugmented CT scan images that the model has never seen during training or validation. This ensures an unbiased estimate of real-world performance.</w:t>
      </w:r>
    </w:p>
    <w:p>
      <w:pPr>
        <w:spacing w:before="0" w:after="120"/>
      </w:pPr>
      <w:r>
        <w:t xml:space="preserve"/>
      </w:r>
    </w:p>
    <w:p>
      <w:pPr>
        <w:pStyle w:val="Heading3"/>
        <w:spacing w:before="280" w:after="100"/>
      </w:pPr>
      <w:r>
        <w:rPr>
          <w:rFonts w:ascii="Calibri" w:cs="Calibri" w:eastAsia="Calibri" w:hAnsi="Calibri"/>
          <w:b/>
          <w:bCs/>
          <w:color w:val="0D7377"/>
          <w:sz w:val="26"/>
          <w:szCs w:val="26"/>
        </w:rPr>
        <w:t xml:space="preserve">7.1  </w:t>
      </w:r>
      <w:r>
        <w:rPr>
          <w:rFonts w:ascii="Calibri" w:cs="Calibri" w:eastAsia="Calibri" w:hAnsi="Calibri"/>
          <w:b/>
          <w:bCs/>
          <w:color w:val="1B2A4A"/>
          <w:sz w:val="26"/>
          <w:szCs w:val="26"/>
        </w:rPr>
        <w:t xml:space="preserve">Evaluation Metrics</w:t>
      </w:r>
    </w:p>
    <w:p>
      <w:pPr>
        <w:pStyle w:val="ListParagraph"/>
        <w:numPr>
          <w:ilvl w:val="0"/>
          <w:numId w:val="2"/>
        </w:numPr>
        <w:spacing w:before="80" w:after="100"/>
      </w:pPr>
      <w:r>
        <w:rPr>
          <w:rFonts w:ascii="Calibri" w:cs="Calibri" w:eastAsia="Calibri" w:hAnsi="Calibri"/>
          <w:b/>
          <w:bCs/>
          <w:color w:val="0D7377"/>
          <w:sz w:val="23"/>
          <w:szCs w:val="23"/>
        </w:rPr>
        <w:t xml:space="preserve">Accuracy: </w:t>
      </w:r>
      <w:r>
        <w:rPr>
          <w:rFonts w:ascii="Calibri" w:cs="Calibri" w:eastAsia="Calibri" w:hAnsi="Calibri"/>
          <w:color w:val="2D3748"/>
          <w:sz w:val="23"/>
          <w:szCs w:val="23"/>
        </w:rPr>
        <w:t xml:space="preserve">The proportion of correctly classified scans out of all test images.</w:t>
      </w:r>
    </w:p>
    <w:p>
      <w:pPr>
        <w:pStyle w:val="ListParagraph"/>
        <w:numPr>
          <w:ilvl w:val="0"/>
          <w:numId w:val="2"/>
        </w:numPr>
        <w:spacing w:before="80" w:after="100"/>
      </w:pPr>
      <w:r>
        <w:rPr>
          <w:rFonts w:ascii="Calibri" w:cs="Calibri" w:eastAsia="Calibri" w:hAnsi="Calibri"/>
          <w:b/>
          <w:bCs/>
          <w:color w:val="0D7377"/>
          <w:sz w:val="23"/>
          <w:szCs w:val="23"/>
        </w:rPr>
        <w:t xml:space="preserve">AUC-ROC: </w:t>
      </w:r>
      <w:r>
        <w:rPr>
          <w:rFonts w:ascii="Calibri" w:cs="Calibri" w:eastAsia="Calibri" w:hAnsi="Calibri"/>
          <w:color w:val="2D3748"/>
          <w:sz w:val="23"/>
          <w:szCs w:val="23"/>
        </w:rPr>
        <w:t xml:space="preserve">Area Under the Receiver Operating Characteristic Curve — measures the model's ability to discriminate between Normal and Stroke cases across all decision thresholds. A value of 1.0 represents perfect discrimination.</w:t>
      </w:r>
    </w:p>
    <w:p>
      <w:pPr>
        <w:pStyle w:val="ListParagraph"/>
        <w:numPr>
          <w:ilvl w:val="0"/>
          <w:numId w:val="2"/>
        </w:numPr>
        <w:spacing w:before="80" w:after="100"/>
      </w:pPr>
      <w:r>
        <w:rPr>
          <w:rFonts w:ascii="Calibri" w:cs="Calibri" w:eastAsia="Calibri" w:hAnsi="Calibri"/>
          <w:b/>
          <w:bCs/>
          <w:color w:val="0D7377"/>
          <w:sz w:val="23"/>
          <w:szCs w:val="23"/>
        </w:rPr>
        <w:t xml:space="preserve">Recall (Sensitivity): </w:t>
      </w:r>
      <w:r>
        <w:rPr>
          <w:rFonts w:ascii="Calibri" w:cs="Calibri" w:eastAsia="Calibri" w:hAnsi="Calibri"/>
          <w:color w:val="2D3748"/>
          <w:sz w:val="23"/>
          <w:szCs w:val="23"/>
        </w:rPr>
        <w:t xml:space="preserve">The proportion of actual Stroke cases correctly identified. This is the most clinically critical metric — a missed stroke (false negative) has far more severe consequences than a false alarm.</w:t>
      </w:r>
    </w:p>
    <w:p>
      <w:pPr>
        <w:pStyle w:val="ListParagraph"/>
        <w:numPr>
          <w:ilvl w:val="0"/>
          <w:numId w:val="2"/>
        </w:numPr>
        <w:spacing w:before="80" w:after="100"/>
      </w:pPr>
      <w:r>
        <w:rPr>
          <w:rFonts w:ascii="Calibri" w:cs="Calibri" w:eastAsia="Calibri" w:hAnsi="Calibri"/>
          <w:b/>
          <w:bCs/>
          <w:color w:val="0D7377"/>
          <w:sz w:val="23"/>
          <w:szCs w:val="23"/>
        </w:rPr>
        <w:t xml:space="preserve">Precision: </w:t>
      </w:r>
      <w:r>
        <w:rPr>
          <w:rFonts w:ascii="Calibri" w:cs="Calibri" w:eastAsia="Calibri" w:hAnsi="Calibri"/>
          <w:color w:val="2D3748"/>
          <w:sz w:val="23"/>
          <w:szCs w:val="23"/>
        </w:rPr>
        <w:t xml:space="preserve">The proportion of Stroke predictions that are actually correct. High precision reduces unnecessary follow-up interventions.</w:t>
      </w:r>
    </w:p>
    <w:p>
      <w:pPr>
        <w:pStyle w:val="ListParagraph"/>
        <w:numPr>
          <w:ilvl w:val="0"/>
          <w:numId w:val="2"/>
        </w:numPr>
        <w:spacing w:before="80" w:after="100"/>
      </w:pPr>
      <w:r>
        <w:rPr>
          <w:rFonts w:ascii="Calibri" w:cs="Calibri" w:eastAsia="Calibri" w:hAnsi="Calibri"/>
          <w:b/>
          <w:bCs/>
          <w:color w:val="0D7377"/>
          <w:sz w:val="23"/>
          <w:szCs w:val="23"/>
        </w:rPr>
        <w:t xml:space="preserve">F1-Score: </w:t>
      </w:r>
      <w:r>
        <w:rPr>
          <w:rFonts w:ascii="Calibri" w:cs="Calibri" w:eastAsia="Calibri" w:hAnsi="Calibri"/>
          <w:color w:val="2D3748"/>
          <w:sz w:val="23"/>
          <w:szCs w:val="23"/>
        </w:rPr>
        <w:t xml:space="preserve">The harmonic mean of Recall and Precision, providing a single balanced measure of classification performance.</w:t>
      </w:r>
    </w:p>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BBCC" w:sz="4"/>
              <w:left w:val="dashed" w:color="AABBCC" w:sz="4"/>
              <w:bottom w:val="dashed" w:color="AABBCC" w:sz="4"/>
              <w:right w:val="dashed" w:color="AABBCC" w:sz="4"/>
            </w:tcBorders>
            <w:shd w:fill="F5F7FA" w:val="clear"/>
            <w:tcMar>
              <w:top w:type="dxa" w:w="200"/>
              <w:left w:type="dxa" w:w="200"/>
              <w:bottom w:type="dxa" w:w="200"/>
              <w:right w:type="dxa" w:w="200"/>
            </w:tcMar>
          </w:tcPr>
          <w:p>
            <w:pPr>
              <w:spacing w:before="80" w:after="40"/>
              <w:jc w:val="center"/>
            </w:pPr>
            <w:r>
              <w:rPr>
                <w:rFonts w:ascii="Calibri" w:cs="Calibri" w:eastAsia="Calibri" w:hAnsi="Calibri"/>
                <w:i/>
                <w:iCs/>
                <w:color w:val="AABBCC"/>
                <w:sz w:val="22"/>
                <w:szCs w:val="22"/>
              </w:rPr>
              <w:t xml:space="preserve">[ Figure Placeholder ]</w:t>
            </w:r>
          </w:p>
          <w:p>
            <w:pPr>
              <w:spacing w:before="0" w:after="80"/>
              <w:jc w:val="center"/>
            </w:pPr>
            <w:r>
              <w:rPr>
                <w:rFonts w:ascii="Calibri" w:cs="Calibri" w:eastAsia="Calibri" w:hAnsi="Calibri"/>
                <w:b/>
                <w:bCs/>
                <w:color w:val="8899AA"/>
                <w:sz w:val="20"/>
                <w:szCs w:val="20"/>
              </w:rPr>
              <w:t xml:space="preserve">Figure 5 — Confusion matrix and ROC curve on the test set</w:t>
            </w:r>
          </w:p>
        </w:tc>
      </w:tr>
    </w:tbl>
    <w:p>
      <w:pPr>
        <w:spacing w:before="0" w:after="200"/>
      </w:pPr>
      <w:r>
        <w:t xml:space="preserve"/>
      </w:r>
    </w:p>
    <w:p>
      <w:pPr>
        <w:pStyle w:val="Heading2"/>
        <w:spacing w:before="360" w:after="160"/>
      </w:pPr>
      <w:r>
        <w:rPr>
          <w:rFonts w:ascii="Calibri" w:cs="Calibri" w:eastAsia="Calibri" w:hAnsi="Calibri"/>
          <w:b/>
          <w:bCs/>
          <w:color w:val="D4A843"/>
          <w:sz w:val="30"/>
          <w:szCs w:val="30"/>
        </w:rPr>
        <w:t xml:space="preserve">8  </w:t>
      </w:r>
      <w:r>
        <w:rPr>
          <w:rFonts w:ascii="Calibri" w:cs="Calibri" w:eastAsia="Calibri" w:hAnsi="Calibri"/>
          <w:b/>
          <w:bCs/>
          <w:color w:val="1B2A4A"/>
          <w:sz w:val="30"/>
          <w:szCs w:val="30"/>
        </w:rPr>
        <w:t xml:space="preserve">Model Interpretability — Grad-CAM</w:t>
      </w:r>
    </w:p>
    <w:p>
      <w:pPr>
        <w:pBdr>
          <w:bottom w:val="single" w:color="0D7377" w:sz="4" w:space="1"/>
        </w:pBdr>
        <w:spacing w:before="0" w:after="0"/>
      </w:pPr>
      <w:r>
        <w:t xml:space="preserve"/>
      </w:r>
    </w:p>
    <w:p>
      <w:pPr>
        <w:spacing w:before="0" w:after="160"/>
      </w:pPr>
      <w:r>
        <w:t xml:space="preserve"/>
      </w:r>
    </w:p>
    <w:p>
      <w:pPr>
        <w:spacing w:before="0" w:after="180"/>
        <w:jc w:val="both"/>
      </w:pPr>
      <w:r>
        <w:rPr>
          <w:rFonts w:ascii="Calibri" w:cs="Calibri" w:eastAsia="Calibri" w:hAnsi="Calibri"/>
          <w:color w:val="2D3748"/>
          <w:sz w:val="23"/>
          <w:szCs w:val="23"/>
        </w:rPr>
        <w:t xml:space="preserve">Gradient-weighted Class Activation Mapping (Grad-CAM) is a visualization technique that produces a heatmap highlighting the regions of the input image that most strongly influenced the model's prediction. For a medical AI system, interpretability is essential: clinicians need to understand why the model made a particular decision before acting on it.</w:t>
      </w:r>
    </w:p>
    <w:p>
      <w:pPr>
        <w:spacing w:before="0" w:after="180"/>
        <w:jc w:val="both"/>
      </w:pPr>
      <w:r>
        <w:rPr>
          <w:rFonts w:ascii="Calibri" w:cs="Calibri" w:eastAsia="Calibri" w:hAnsi="Calibri"/>
          <w:color w:val="2D3748"/>
          <w:sz w:val="23"/>
          <w:szCs w:val="23"/>
        </w:rPr>
        <w:t xml:space="preserve">Grad-CAM works by computing the gradient of the predicted class score with respect to the feature maps in the final convolutional layer of the network. Regions with large positive gradients correspond to areas that pushed the prediction toward Stroke; these are highlighted in red on the heatmap overlay.</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8646"/>
      </w:tblGrid>
      <w:tr>
        <w:tc>
          <w:tcPr>
            <w:tcW w:type="dxa" w:w="380"/>
            <w:tcBorders>
              <w:top w:val="none"/>
              <w:left w:val="none"/>
              <w:bottom w:val="none"/>
              <w:right w:val="none"/>
            </w:tcBorders>
            <w:shd w:fill="0D7377" w:val="clear"/>
          </w:tcPr>
          <w:p>
            <w:r>
              <w:t xml:space="preserve"/>
            </w:r>
          </w:p>
        </w:tc>
        <w:tc>
          <w:tcPr>
            <w:tcW w:type="dxa" w:w="8646"/>
            <w:tcBorders>
              <w:top w:val="none"/>
              <w:left w:val="none"/>
              <w:bottom w:val="none"/>
              <w:right w:val="none"/>
            </w:tcBorders>
            <w:shd w:fill="E8F4F8" w:val="clear"/>
            <w:tcMar>
              <w:top w:type="dxa" w:w="120"/>
              <w:left w:type="dxa" w:w="200"/>
              <w:bottom w:type="dxa" w:w="120"/>
              <w:right w:type="dxa" w:w="120"/>
            </w:tcMar>
          </w:tcPr>
          <w:p>
            <w:pPr>
              <w:spacing w:before="0" w:after="60"/>
            </w:pPr>
            <w:r>
              <w:rPr>
                <w:rFonts w:ascii="Calibri" w:cs="Calibri" w:eastAsia="Calibri" w:hAnsi="Calibri"/>
                <w:b/>
                <w:bCs/>
                <w:color w:val="0D7377"/>
                <w:sz w:val="21"/>
                <w:szCs w:val="21"/>
              </w:rPr>
              <w:t xml:space="preserve">Clinical Value of Grad-CAM</w:t>
            </w:r>
          </w:p>
          <w:p>
            <w:pPr>
              <w:spacing w:before="0" w:after="0"/>
            </w:pPr>
            <w:r>
              <w:rPr>
                <w:rFonts w:ascii="Calibri" w:cs="Calibri" w:eastAsia="Calibri" w:hAnsi="Calibri"/>
                <w:i/>
                <w:iCs/>
                <w:color w:val="1B2A4A"/>
                <w:sz w:val="22"/>
                <w:szCs w:val="22"/>
              </w:rPr>
              <w:t xml:space="preserve">If the model predicts Stroke and the Grad-CAM heatmap highlights a region corresponding to a known lesion area (e.g., a hyperdense region in the basal ganglia), this provides radiologists with immediate visual confirmation that the model is reasoning correctly — not relying on imaging artifacts or background noise.</w:t>
            </w:r>
          </w:p>
        </w:tc>
      </w:tr>
    </w:tbl>
    <w:p>
      <w:pPr>
        <w:spacing w:before="0" w:after="200"/>
      </w:pPr>
      <w:r>
        <w:t xml:space="preserve"/>
      </w:r>
    </w:p>
    <w:p>
      <w:pPr>
        <w:spacing w:before="0" w:after="180"/>
        <w:jc w:val="both"/>
      </w:pPr>
      <w:r>
        <w:rPr>
          <w:rFonts w:ascii="Calibri" w:cs="Calibri" w:eastAsia="Calibri" w:hAnsi="Calibri"/>
          <w:color w:val="2D3748"/>
          <w:sz w:val="23"/>
          <w:szCs w:val="23"/>
        </w:rPr>
        <w:t xml:space="preserve">In this project, Grad-CAM is applied to test set images and the resulting overlays are saved as output figures. This provides both a qualitative validation of model behavior and a demonstration of the system's clinical transparency for the graduation project presentation.</w:t>
      </w:r>
    </w:p>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AABBCC" w:sz="4"/>
              <w:left w:val="dashed" w:color="AABBCC" w:sz="4"/>
              <w:bottom w:val="dashed" w:color="AABBCC" w:sz="4"/>
              <w:right w:val="dashed" w:color="AABBCC" w:sz="4"/>
            </w:tcBorders>
            <w:shd w:fill="F5F7FA" w:val="clear"/>
            <w:tcMar>
              <w:top w:type="dxa" w:w="200"/>
              <w:left w:type="dxa" w:w="200"/>
              <w:bottom w:type="dxa" w:w="200"/>
              <w:right w:type="dxa" w:w="200"/>
            </w:tcMar>
          </w:tcPr>
          <w:p>
            <w:pPr>
              <w:spacing w:before="80" w:after="40"/>
              <w:jc w:val="center"/>
            </w:pPr>
            <w:r>
              <w:rPr>
                <w:rFonts w:ascii="Calibri" w:cs="Calibri" w:eastAsia="Calibri" w:hAnsi="Calibri"/>
                <w:i/>
                <w:iCs/>
                <w:color w:val="AABBCC"/>
                <w:sz w:val="22"/>
                <w:szCs w:val="22"/>
              </w:rPr>
              <w:t xml:space="preserve">[ Figure Placeholder ]</w:t>
            </w:r>
          </w:p>
          <w:p>
            <w:pPr>
              <w:spacing w:before="0" w:after="80"/>
              <w:jc w:val="center"/>
            </w:pPr>
            <w:r>
              <w:rPr>
                <w:rFonts w:ascii="Calibri" w:cs="Calibri" w:eastAsia="Calibri" w:hAnsi="Calibri"/>
                <w:b/>
                <w:bCs/>
                <w:color w:val="8899AA"/>
                <w:sz w:val="20"/>
                <w:szCs w:val="20"/>
              </w:rPr>
              <w:t xml:space="preserve">Figure 6 — Grad-CAM visualizations: original CT scans overlaid with attention heatmaps</w:t>
            </w:r>
          </w:p>
        </w:tc>
      </w:tr>
    </w:tbl>
    <w:p>
      <w:pPr>
        <w:spacing w:before="0" w:after="200"/>
      </w:pPr>
      <w:r>
        <w:t xml:space="preserve"/>
      </w:r>
    </w:p>
    <w:p>
      <w:pPr>
        <w:pStyle w:val="Heading2"/>
        <w:spacing w:before="360" w:after="160"/>
      </w:pPr>
      <w:r>
        <w:rPr>
          <w:rFonts w:ascii="Calibri" w:cs="Calibri" w:eastAsia="Calibri" w:hAnsi="Calibri"/>
          <w:b/>
          <w:bCs/>
          <w:color w:val="D4A843"/>
          <w:sz w:val="30"/>
          <w:szCs w:val="30"/>
        </w:rPr>
        <w:t xml:space="preserve">9  </w:t>
      </w:r>
      <w:r>
        <w:rPr>
          <w:rFonts w:ascii="Calibri" w:cs="Calibri" w:eastAsia="Calibri" w:hAnsi="Calibri"/>
          <w:b/>
          <w:bCs/>
          <w:color w:val="1B2A4A"/>
          <w:sz w:val="30"/>
          <w:szCs w:val="30"/>
        </w:rPr>
        <w:t xml:space="preserve">Model Output</w:t>
      </w:r>
    </w:p>
    <w:p>
      <w:pPr>
        <w:pBdr>
          <w:bottom w:val="single" w:color="0D7377" w:sz="4" w:space="1"/>
        </w:pBdr>
        <w:spacing w:before="0" w:after="0"/>
      </w:pPr>
      <w:r>
        <w:t xml:space="preserve"/>
      </w:r>
    </w:p>
    <w:p>
      <w:pPr>
        <w:spacing w:before="0" w:after="160"/>
      </w:pPr>
      <w:r>
        <w:t xml:space="preserve"/>
      </w:r>
    </w:p>
    <w:p>
      <w:pPr>
        <w:spacing w:before="0" w:after="180"/>
        <w:jc w:val="both"/>
      </w:pPr>
      <w:r>
        <w:rPr>
          <w:rFonts w:ascii="Calibri" w:cs="Calibri" w:eastAsia="Calibri" w:hAnsi="Calibri"/>
          <w:color w:val="2D3748"/>
          <w:sz w:val="23"/>
          <w:szCs w:val="23"/>
        </w:rPr>
        <w:t xml:space="preserve">The Image Model produces a single continuous value between 0 and 1 for each input CT scan. This value represents the model's estimated probability that the scan shows evidence of stroke.</w:t>
      </w:r>
    </w:p>
    <w:p>
      <w:pPr>
        <w:pStyle w:val="ListParagraph"/>
        <w:numPr>
          <w:ilvl w:val="0"/>
          <w:numId w:val="2"/>
        </w:numPr>
        <w:spacing w:before="80" w:after="100"/>
      </w:pPr>
      <w:r>
        <w:rPr>
          <w:rFonts w:ascii="Calibri" w:cs="Calibri" w:eastAsia="Calibri" w:hAnsi="Calibri"/>
          <w:b/>
          <w:bCs/>
          <w:color w:val="0D7377"/>
          <w:sz w:val="23"/>
          <w:szCs w:val="23"/>
        </w:rPr>
        <w:t xml:space="preserve">Score → 0.0: </w:t>
      </w:r>
      <w:r>
        <w:rPr>
          <w:rFonts w:ascii="Calibri" w:cs="Calibri" w:eastAsia="Calibri" w:hAnsi="Calibri"/>
          <w:color w:val="2D3748"/>
          <w:sz w:val="23"/>
          <w:szCs w:val="23"/>
        </w:rPr>
        <w:t xml:space="preserve">The scan is very likely Normal — no evidence of stroke detected.</w:t>
      </w:r>
    </w:p>
    <w:p>
      <w:pPr>
        <w:pStyle w:val="ListParagraph"/>
        <w:numPr>
          <w:ilvl w:val="0"/>
          <w:numId w:val="2"/>
        </w:numPr>
        <w:spacing w:before="80" w:after="100"/>
      </w:pPr>
      <w:r>
        <w:rPr>
          <w:rFonts w:ascii="Calibri" w:cs="Calibri" w:eastAsia="Calibri" w:hAnsi="Calibri"/>
          <w:b/>
          <w:bCs/>
          <w:color w:val="0D7377"/>
          <w:sz w:val="23"/>
          <w:szCs w:val="23"/>
        </w:rPr>
        <w:t xml:space="preserve">Score → 0.5: </w:t>
      </w:r>
      <w:r>
        <w:rPr>
          <w:rFonts w:ascii="Calibri" w:cs="Calibri" w:eastAsia="Calibri" w:hAnsi="Calibri"/>
          <w:color w:val="2D3748"/>
          <w:sz w:val="23"/>
          <w:szCs w:val="23"/>
        </w:rPr>
        <w:t xml:space="preserve">The model is uncertain — borderline case requiring clinical review.</w:t>
      </w:r>
    </w:p>
    <w:p>
      <w:pPr>
        <w:pStyle w:val="ListParagraph"/>
        <w:numPr>
          <w:ilvl w:val="0"/>
          <w:numId w:val="2"/>
        </w:numPr>
        <w:spacing w:before="80" w:after="100"/>
      </w:pPr>
      <w:r>
        <w:rPr>
          <w:rFonts w:ascii="Calibri" w:cs="Calibri" w:eastAsia="Calibri" w:hAnsi="Calibri"/>
          <w:b/>
          <w:bCs/>
          <w:color w:val="0D7377"/>
          <w:sz w:val="23"/>
          <w:szCs w:val="23"/>
        </w:rPr>
        <w:t xml:space="preserve">Score → 1.0: </w:t>
      </w:r>
      <w:r>
        <w:rPr>
          <w:rFonts w:ascii="Calibri" w:cs="Calibri" w:eastAsia="Calibri" w:hAnsi="Calibri"/>
          <w:color w:val="2D3748"/>
          <w:sz w:val="23"/>
          <w:szCs w:val="23"/>
        </w:rPr>
        <w:t xml:space="preserve">The scan is very likely to show Stroke — immediate clinical attention warranted.</w:t>
      </w:r>
    </w:p>
    <w:p>
      <w:pPr>
        <w:spacing w:before="0" w:after="160"/>
      </w:pPr>
      <w:r>
        <w:t xml:space="preserve"/>
      </w:r>
    </w:p>
    <w:p>
      <w:pPr>
        <w:spacing w:before="0" w:after="180"/>
        <w:jc w:val="both"/>
      </w:pPr>
      <w:r>
        <w:rPr>
          <w:rFonts w:ascii="Calibri" w:cs="Calibri" w:eastAsia="Calibri" w:hAnsi="Calibri"/>
          <w:color w:val="2D3748"/>
          <w:sz w:val="23"/>
          <w:szCs w:val="23"/>
        </w:rPr>
        <w:t xml:space="preserve">This probability score — referred to as the Image Score — is passed to the Fusion Model, where it is combined with the Clinical Score from the XGBoost model to produce the final stroke risk assessment for the patient.</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
        <w:gridCol w:w="8646"/>
      </w:tblGrid>
      <w:tr>
        <w:tc>
          <w:tcPr>
            <w:tcW w:type="dxa" w:w="380"/>
            <w:tcBorders>
              <w:top w:val="none"/>
              <w:left w:val="none"/>
              <w:bottom w:val="none"/>
              <w:right w:val="none"/>
            </w:tcBorders>
            <w:shd w:fill="0D7377" w:val="clear"/>
          </w:tcPr>
          <w:p>
            <w:r>
              <w:t xml:space="preserve"/>
            </w:r>
          </w:p>
        </w:tc>
        <w:tc>
          <w:tcPr>
            <w:tcW w:type="dxa" w:w="8646"/>
            <w:tcBorders>
              <w:top w:val="none"/>
              <w:left w:val="none"/>
              <w:bottom w:val="none"/>
              <w:right w:val="none"/>
            </w:tcBorders>
            <w:shd w:fill="E8F4F8" w:val="clear"/>
            <w:tcMar>
              <w:top w:type="dxa" w:w="120"/>
              <w:left w:type="dxa" w:w="200"/>
              <w:bottom w:type="dxa" w:w="120"/>
              <w:right w:type="dxa" w:w="120"/>
            </w:tcMar>
          </w:tcPr>
          <w:p>
            <w:pPr>
              <w:spacing w:before="0" w:after="60"/>
            </w:pPr>
            <w:r>
              <w:rPr>
                <w:rFonts w:ascii="Calibri" w:cs="Calibri" w:eastAsia="Calibri" w:hAnsi="Calibri"/>
                <w:b/>
                <w:bCs/>
                <w:color w:val="0D7377"/>
                <w:sz w:val="21"/>
                <w:szCs w:val="21"/>
              </w:rPr>
              <w:t xml:space="preserve">Role in the Fusion Pipeline</w:t>
            </w:r>
          </w:p>
          <w:p>
            <w:pPr>
              <w:spacing w:before="0" w:after="0"/>
            </w:pPr>
            <w:r>
              <w:rPr>
                <w:rFonts w:ascii="Calibri" w:cs="Calibri" w:eastAsia="Calibri" w:hAnsi="Calibri"/>
                <w:i/>
                <w:iCs/>
                <w:color w:val="1B2A4A"/>
                <w:sz w:val="22"/>
                <w:szCs w:val="22"/>
              </w:rPr>
              <w:t xml:space="preserve">The Image Score does not produce a final clinical decision on its own. It serves as one input to the Fusion Model, which learns the optimal combination of the Image Score and the Clinical Score to maximize overall prediction accuracy across the full patient population.</w:t>
            </w:r>
          </w:p>
        </w:tc>
      </w:tr>
    </w:tbl>
    <w:p>
      <w:pPr>
        <w:spacing w:before="0" w:after="400"/>
      </w:pPr>
      <w:r>
        <w:t xml:space="preserve"/>
      </w:r>
    </w:p>
    <w:p>
      <w:pPr>
        <w:pBdr>
          <w:top w:val="single" w:color="0D7377" w:sz="8" w:space="1"/>
        </w:pBdr>
        <w:spacing w:before="0" w:after="0"/>
      </w:pPr>
      <w:r>
        <w:t xml:space="preserve"/>
      </w:r>
    </w:p>
    <w:p>
      <w:pPr>
        <w:pBdr>
          <w:top w:val="single" w:color="D4A843" w:sz="3" w:space="4"/>
        </w:pBdr>
        <w:spacing w:before="0" w:after="120"/>
      </w:pPr>
      <w:r>
        <w:t xml:space="preserve"/>
      </w:r>
    </w:p>
    <w:p>
      <w:pPr>
        <w:spacing w:before="0" w:after="0"/>
        <w:jc w:val="center"/>
      </w:pPr>
      <w:r>
        <w:rPr>
          <w:rFonts w:ascii="Calibri" w:cs="Calibri" w:eastAsia="Calibri" w:hAnsi="Calibri"/>
          <w:i/>
          <w:iCs/>
          <w:color w:val="8899AA"/>
          <w:sz w:val="20"/>
          <w:szCs w:val="20"/>
        </w:rPr>
        <w:t xml:space="preserve">End of CT Image Model Documentation</w:t>
      </w:r>
    </w:p>
    <w:sectPr>
      <w:headerReference w:type="default" r:id="rId6"/>
      <w:footerReference w:type="default" r:id="rId7"/>
      <w:pgSz w:w="11906" w:h="16838" w:orient="portrait"/>
      <w:pgMar w:top="1440" w:right="12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1"/>
      </w:pBdr>
      <w:spacing w:before="120" w:after="0"/>
      <w:jc w:val="center"/>
    </w:pPr>
    <w:r>
      <w:rPr>
        <w:rFonts w:ascii="Calibri" w:cs="Calibri" w:eastAsia="Calibri" w:hAnsi="Calibri"/>
        <w:color w:val="8899AA"/>
        <w:sz w:val="18"/>
        <w:szCs w:val="18"/>
      </w:rPr>
      <w:t xml:space="preserve">Stroke Prediction System  |  Image Model  |  Page </w:t>
    </w:r>
    <w:r>
      <w:rPr>
        <w:rFonts w:ascii="Calibri" w:cs="Calibri" w:eastAsia="Calibri" w:hAnsi="Calibri"/>
        <w:color w:val="0D73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1"/>
      </w:pBdr>
      <w:spacing w:before="0" w:after="120"/>
      <w:jc w:val="right"/>
    </w:pPr>
    <w:r>
      <w:rPr>
        <w:rFonts w:ascii="Calibri" w:cs="Calibri" w:eastAsia="Calibri" w:hAnsi="Calibri"/>
        <w:color w:val="8899AA"/>
        <w:sz w:val="18"/>
        <w:szCs w:val="18"/>
      </w:rPr>
      <w:t xml:space="preserve">Big Data Analytics for Healthcare  •  CT Image Model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rFonts w:ascii="Calibri" w:cs="Calibri" w:eastAsia="Calibri" w:hAnsi="Calibri"/>
        <w:color w:val="0D7377"/>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0"/>
      <w:outlineLvl w:val="0"/>
    </w:pPr>
    <w:rPr>
      <w:rFonts w:ascii="Calibri" w:cs="Calibri" w:eastAsia="Calibri" w:hAnsi="Calibri"/>
      <w:b/>
      <w:bCs/>
      <w:color w:val="1B2A4A"/>
      <w:sz w:val="52"/>
      <w:szCs w:val="52"/>
    </w:rPr>
  </w:style>
  <w:style w:type="paragraph" w:styleId="Heading2">
    <w:name w:val="Heading 2"/>
    <w:basedOn w:val="Normal"/>
    <w:next w:val="Normal"/>
    <w:qFormat/>
    <w:pPr>
      <w:spacing w:before="360" w:after="160"/>
      <w:outlineLvl w:val="1"/>
    </w:pPr>
    <w:rPr>
      <w:rFonts w:ascii="Calibri" w:cs="Calibri" w:eastAsia="Calibri" w:hAnsi="Calibri"/>
      <w:b/>
      <w:bCs/>
      <w:color w:val="1B2A4A"/>
      <w:sz w:val="30"/>
      <w:szCs w:val="30"/>
    </w:rPr>
  </w:style>
  <w:style w:type="paragraph" w:styleId="Heading3">
    <w:name w:val="Heading 3"/>
    <w:basedOn w:val="Normal"/>
    <w:next w:val="Normal"/>
    <w:qFormat/>
    <w:pPr>
      <w:spacing w:before="240" w:after="100"/>
      <w:outlineLvl w:val="2"/>
    </w:pPr>
    <w:rPr>
      <w:rFonts w:ascii="Calibri" w:cs="Calibri" w:eastAsia="Calibri" w:hAnsi="Calibri"/>
      <w:b/>
      <w:bCs/>
      <w:color w:val="0D737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2026-02-25T19:16:32.581Z</dcterms:created>
  <dcterms:modified xsi:type="dcterms:W3CDTF">2026-02-25T19:16:32.582Z</dcterms:modified>
</cp:coreProperties>
</file>

<file path=docProps/custom.xml><?xml version="1.0" encoding="utf-8"?>
<Properties xmlns="http://schemas.openxmlformats.org/officeDocument/2006/custom-properties" xmlns:vt="http://schemas.openxmlformats.org/officeDocument/2006/docPropsVTypes"/>
</file>