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340D6A9D" w:rsidR="00FF75A3" w:rsidRPr="00E42915" w:rsidRDefault="00D60D19" w:rsidP="00EC6E86">
      <w:pPr>
        <w:pStyle w:val="Heading1-Arial"/>
        <w:spacing w:after="60"/>
        <w:rPr>
          <w:highlight w:val="cyan"/>
        </w:rPr>
      </w:pPr>
      <w:r>
        <w:rPr>
          <w:b/>
          <w:sz w:val="24"/>
        </w:rPr>
        <w:t>CS1</w:t>
      </w:r>
      <w:r w:rsidR="008F6B50">
        <w:rPr>
          <w:b/>
          <w:sz w:val="24"/>
        </w:rPr>
        <w:t>50</w:t>
      </w:r>
      <w:r>
        <w:rPr>
          <w:b/>
          <w:sz w:val="24"/>
        </w:rPr>
        <w:t>-0</w:t>
      </w:r>
      <w:r w:rsidR="008F6B50">
        <w:rPr>
          <w:b/>
          <w:sz w:val="24"/>
        </w:rPr>
        <w:t>1</w:t>
      </w:r>
      <w:r>
        <w:rPr>
          <w:b/>
          <w:sz w:val="24"/>
        </w:rPr>
        <w:t xml:space="preserve">: </w:t>
      </w:r>
      <w:r w:rsidR="000F48CB" w:rsidRPr="000F48CB">
        <w:rPr>
          <w:b/>
          <w:sz w:val="24"/>
        </w:rPr>
        <w:t xml:space="preserve">Computer Programming for the Liberal Arts </w:t>
      </w:r>
    </w:p>
    <w:p w14:paraId="0AF8E45B" w14:textId="50014B64" w:rsidR="00B1220A" w:rsidRPr="00E42915" w:rsidRDefault="002F4553" w:rsidP="00484D96">
      <w:pPr>
        <w:pStyle w:val="Heading1-Arial"/>
        <w:spacing w:before="0" w:after="0"/>
        <w:rPr>
          <w:sz w:val="32"/>
          <w:szCs w:val="32"/>
          <w:highlight w:val="cyan"/>
        </w:rPr>
      </w:pPr>
      <w:bookmarkStart w:id="0" w:name="_Toc104374908"/>
      <w:bookmarkStart w:id="1" w:name="_Toc104378945"/>
      <w:r>
        <w:rPr>
          <w:b/>
          <w:sz w:val="24"/>
        </w:rPr>
        <w:t>Spring</w:t>
      </w:r>
      <w:r w:rsidR="00AD1947">
        <w:rPr>
          <w:b/>
          <w:sz w:val="24"/>
        </w:rPr>
        <w:t xml:space="preserve"> </w:t>
      </w:r>
      <w:r w:rsidR="00ED4765">
        <w:rPr>
          <w:b/>
          <w:sz w:val="24"/>
        </w:rPr>
        <w:t>202</w:t>
      </w:r>
      <w:r>
        <w:rPr>
          <w:b/>
          <w:sz w:val="24"/>
        </w:rPr>
        <w:t>3</w:t>
      </w:r>
      <w:r w:rsidR="00AD1947">
        <w:rPr>
          <w:b/>
          <w:sz w:val="24"/>
        </w:rPr>
        <w:t xml:space="preserve">, Section </w:t>
      </w:r>
      <w:r w:rsidR="000F48CB">
        <w:rPr>
          <w:b/>
          <w:sz w:val="24"/>
        </w:rPr>
        <w:t>1</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proofErr w:type="spellStart"/>
      <w:r w:rsidR="00EC5376">
        <w:t>Sayani</w:t>
      </w:r>
      <w:proofErr w:type="spellEnd"/>
      <w:r w:rsidR="00EC5376">
        <w:t xml:space="preserve">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CA5FA9E" w:rsidR="00764874" w:rsidRPr="00AD1947" w:rsidRDefault="00764874" w:rsidP="009D70B2">
      <w:pPr>
        <w:pStyle w:val="ListParagraph-Arial"/>
      </w:pPr>
      <w:r>
        <w:t xml:space="preserve">Office hours: </w:t>
      </w:r>
      <w:r w:rsidR="002C7606" w:rsidRPr="006F3A8F">
        <w:rPr>
          <w:b/>
          <w:bCs/>
        </w:rPr>
        <w:t xml:space="preserve">M/W </w:t>
      </w:r>
      <w:r w:rsidR="008A6489">
        <w:rPr>
          <w:b/>
          <w:bCs/>
        </w:rPr>
        <w:t>11 AM</w:t>
      </w:r>
      <w:r w:rsidR="008959DA" w:rsidRPr="006F3A8F">
        <w:rPr>
          <w:b/>
          <w:bCs/>
        </w:rPr>
        <w:t xml:space="preserve"> to </w:t>
      </w:r>
      <w:r w:rsidR="002F4553">
        <w:rPr>
          <w:b/>
          <w:bCs/>
        </w:rPr>
        <w:t>12.30 PM</w:t>
      </w:r>
      <w:r w:rsidR="006F3A8F">
        <w:t xml:space="preserve">, </w:t>
      </w:r>
      <w:r w:rsidR="006F3A8F" w:rsidRPr="00D66046">
        <w:t>other times by appointment except</w:t>
      </w:r>
      <w:r w:rsidR="002F4553">
        <w:t xml:space="preserve"> for</w:t>
      </w:r>
      <w:r w:rsidR="006F3A8F" w:rsidRPr="00D66046">
        <w:t xml:space="preserve">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7D3F35D4" w14:textId="6D0BD9CF" w:rsidR="00A9272B" w:rsidRPr="00EB3DB3" w:rsidRDefault="007A5A9F" w:rsidP="009D70B2">
      <w:pPr>
        <w:pStyle w:val="Normal-Arial"/>
        <w:contextualSpacing/>
        <w:rPr>
          <w:b/>
          <w:bCs/>
          <w:lang w:eastAsia="zh-CN"/>
        </w:rPr>
      </w:pPr>
      <w:r w:rsidRPr="007A5A9F">
        <w:rPr>
          <w:lang w:eastAsia="zh-CN"/>
        </w:rPr>
        <w:t>Introduction to computer programming for students interested in learning the practical aspects of programming for solving problems in a wide variety of disciplines outside of computer science and engineering. The course covers basic programming constructs including statements, expressions, variables, conditionals, iteration, functions, and simple data visualization and data manipulation techniques using various Python libraries.</w:t>
      </w:r>
      <w:r w:rsidR="00EB3DB3">
        <w:rPr>
          <w:lang w:eastAsia="zh-CN"/>
        </w:rPr>
        <w:t xml:space="preserve"> </w:t>
      </w:r>
      <w:r w:rsidR="00EB3DB3" w:rsidRPr="00EB3DB3">
        <w:rPr>
          <w:b/>
          <w:bCs/>
          <w:lang w:eastAsia="zh-CN"/>
        </w:rPr>
        <w:t xml:space="preserve">This course will not count for credit in either the Computer Science or Computer Engineering programs.  </w:t>
      </w:r>
    </w:p>
    <w:p w14:paraId="0E06D2FF" w14:textId="77777777" w:rsidR="007A5A9F" w:rsidRDefault="007A5A9F"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2EC28FAD" w:rsidR="000B240F" w:rsidRDefault="000B240F" w:rsidP="009D70B2">
      <w:pPr>
        <w:pStyle w:val="Normal-Arial"/>
        <w:contextualSpacing/>
      </w:pPr>
      <w:r w:rsidRPr="00BC0E56">
        <w:rPr>
          <w:b/>
          <w:bCs/>
        </w:rPr>
        <w:t xml:space="preserve">Credit </w:t>
      </w:r>
      <w:r w:rsidR="002F4553">
        <w:rPr>
          <w:b/>
          <w:bCs/>
        </w:rPr>
        <w:t>Hours</w:t>
      </w:r>
      <w:r w:rsidR="004E0A00">
        <w:t>:</w:t>
      </w:r>
      <w:r w:rsidR="000A6EAF">
        <w:t xml:space="preserve"> </w:t>
      </w:r>
      <w:r w:rsidR="00EB3DB3">
        <w:t>3</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proofErr w:type="gramStart"/>
            <w:r>
              <w:t>Labs,  Exams</w:t>
            </w:r>
            <w:proofErr w:type="gramEnd"/>
            <w:r>
              <w:t xml:space="preserve">,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2B94F0F9" w:rsidR="006250CC" w:rsidRDefault="00030C96" w:rsidP="00E7052A">
            <w:pPr>
              <w:spacing w:after="0"/>
              <w:ind w:left="29"/>
            </w:pPr>
            <w:r w:rsidRPr="00202F77">
              <w:t>N/A</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proofErr w:type="gramStart"/>
            <w:r>
              <w:t>Labs,  Exams</w:t>
            </w:r>
            <w:proofErr w:type="gramEnd"/>
            <w:r>
              <w:t xml:space="preserve">,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92E9FDD" w:rsidR="006250CC" w:rsidRDefault="00030C96" w:rsidP="00E7052A">
            <w:pPr>
              <w:spacing w:after="0"/>
              <w:ind w:left="29"/>
            </w:pPr>
            <w:r w:rsidRPr="00202F77">
              <w:t>N/A</w:t>
            </w:r>
          </w:p>
        </w:tc>
      </w:tr>
    </w:tbl>
    <w:p w14:paraId="531C66FB" w14:textId="5CB653CE" w:rsidR="008858BC" w:rsidRPr="00D51F7C" w:rsidRDefault="000340CB" w:rsidP="000340CB">
      <w:pPr>
        <w:pStyle w:val="Heading3-Arial"/>
      </w:pPr>
      <w:r>
        <w:t>Course Methodology</w:t>
      </w:r>
      <w:bookmarkEnd w:id="6"/>
    </w:p>
    <w:p w14:paraId="1F1D69A9" w14:textId="79544425"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w:t>
      </w:r>
      <w:r w:rsidR="002F4553">
        <w:rPr>
          <w:sz w:val="20"/>
          <w:szCs w:val="20"/>
        </w:rPr>
        <w:t>lectures</w:t>
      </w:r>
      <w:r w:rsidRPr="007C2376">
        <w:rPr>
          <w:sz w:val="20"/>
          <w:szCs w:val="20"/>
        </w:rPr>
        <w:t xml:space="preserve"> during class times; however, most learning will occur through activities during class sessions. I will use several instruments to assess your learning including </w:t>
      </w:r>
      <w:r w:rsidR="002B41B5">
        <w:rPr>
          <w:sz w:val="20"/>
          <w:szCs w:val="20"/>
        </w:rPr>
        <w:t>quizzes, in-class assessments</w:t>
      </w:r>
      <w:r w:rsidRPr="007C2376">
        <w:rPr>
          <w:sz w:val="20"/>
          <w:szCs w:val="20"/>
        </w:rPr>
        <w:t xml:space="preserve">, regular exams, and a final exam. The Evaluation section of this syllabus provides more detail on assessment. The Course Schedule for this class is in Moodle where it will be updated as necessary.   </w:t>
      </w:r>
    </w:p>
    <w:p w14:paraId="09DCDD2D" w14:textId="77777777" w:rsidR="00790A9D" w:rsidRDefault="00790A9D" w:rsidP="00FE5B0B">
      <w:pPr>
        <w:pStyle w:val="Heading3-Arial"/>
      </w:pPr>
    </w:p>
    <w:p w14:paraId="792C9FAF" w14:textId="57AFAF17" w:rsidR="000340CB" w:rsidRDefault="000462BE" w:rsidP="00FE5B0B">
      <w:pPr>
        <w:pStyle w:val="Heading3-Arial"/>
      </w:pPr>
      <w:r>
        <w:lastRenderedPageBreak/>
        <w:t>Course Materials</w:t>
      </w:r>
      <w:bookmarkEnd w:id="7"/>
    </w:p>
    <w:p w14:paraId="09F660DA" w14:textId="1856C811" w:rsidR="005D1E95" w:rsidRPr="008A70C4" w:rsidRDefault="005D1E95" w:rsidP="009D70B2">
      <w:pPr>
        <w:pStyle w:val="Normal-Arial"/>
      </w:pPr>
      <w:r w:rsidRPr="008A70C4">
        <w:t xml:space="preserve">Note: The 2002 Technology, Education, and Copyright Harmonization Act (TEACH Act) </w:t>
      </w:r>
      <w:r w:rsidR="002F4553">
        <w:t>permit</w:t>
      </w:r>
      <w:r w:rsidRPr="008A70C4">
        <w:t xml:space="preserve"> select copyrighted works to be posted </w:t>
      </w:r>
      <w:r w:rsidR="00DE650A">
        <w:t>online for</w:t>
      </w:r>
      <w:r w:rsidRPr="008A70C4">
        <w:t xml:space="preserve"> this course under strict conditions. Students may use these works solely as instructional resources and </w:t>
      </w:r>
      <w:r w:rsidR="002F4553">
        <w:t>not share them</w:t>
      </w:r>
      <w:r w:rsidRPr="008A70C4">
        <w:t xml:space="preserve">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5E66B484" w14:textId="77777777" w:rsidR="00ED47D3" w:rsidRDefault="00ED47D3" w:rsidP="00A0662A">
      <w:pPr>
        <w:pStyle w:val="Heading3-Arial"/>
        <w:rPr>
          <w:sz w:val="20"/>
          <w:szCs w:val="20"/>
        </w:rPr>
      </w:pPr>
      <w:bookmarkStart w:id="8" w:name="_Toc104378953"/>
      <w:r w:rsidRPr="00ED47D3">
        <w:rPr>
          <w:sz w:val="20"/>
          <w:szCs w:val="20"/>
        </w:rPr>
        <w:t xml:space="preserve">Python Crash Course, 2nd Edition: A Hands-On, Project-Based Introduction to Programming </w:t>
      </w:r>
    </w:p>
    <w:p w14:paraId="521CEE59" w14:textId="252819F3" w:rsidR="00950ECC" w:rsidRPr="008B20B6" w:rsidRDefault="006910F5" w:rsidP="00A0662A">
      <w:pPr>
        <w:pStyle w:val="Heading3-Arial"/>
        <w:rPr>
          <w:b/>
          <w:bCs/>
        </w:rPr>
      </w:pPr>
      <w:r w:rsidRPr="008B20B6">
        <w:rPr>
          <w:b/>
          <w:bCs/>
        </w:rPr>
        <w:t xml:space="preserve">Course </w:t>
      </w:r>
      <w:r w:rsidR="00950ECC" w:rsidRPr="008B20B6">
        <w:rPr>
          <w:b/>
          <w:bCs/>
        </w:rPr>
        <w:t>Activities</w:t>
      </w:r>
      <w:bookmarkEnd w:id="8"/>
    </w:p>
    <w:p w14:paraId="12903F0F" w14:textId="5445F091" w:rsidR="00D97F1A" w:rsidRDefault="00D97F1A" w:rsidP="009D70B2">
      <w:pPr>
        <w:pStyle w:val="Normal-Arial"/>
      </w:pPr>
      <w:r w:rsidRPr="00D97F1A">
        <w:t>Active participation will be the best way for you to learn and understand the material. To learn to code, you must code. I am here to structure, guide</w:t>
      </w:r>
      <w:r w:rsidR="002F4553">
        <w:t>,</w:t>
      </w:r>
      <w:r w:rsidRPr="00D97F1A">
        <w:t xml:space="preserv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1518"/>
        <w:gridCol w:w="3136"/>
        <w:gridCol w:w="750"/>
        <w:gridCol w:w="1998"/>
        <w:gridCol w:w="1958"/>
      </w:tblGrid>
      <w:tr w:rsidR="00B5431E" w:rsidRPr="00B47D59" w14:paraId="442D5C37" w14:textId="77777777" w:rsidTr="00F04409">
        <w:trPr>
          <w:tblHeader/>
        </w:trPr>
        <w:tc>
          <w:tcPr>
            <w:tcW w:w="1518"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3337" w:type="dxa"/>
            <w:shd w:val="clear" w:color="auto" w:fill="632423" w:themeFill="accent2" w:themeFillShade="80"/>
          </w:tcPr>
          <w:p w14:paraId="4E025006" w14:textId="39D9F5B4" w:rsidR="00A11DFF" w:rsidRPr="00B47D59" w:rsidRDefault="00CD37CD" w:rsidP="009D70B2">
            <w:pPr>
              <w:pStyle w:val="Normal-Arial"/>
            </w:pPr>
            <w:r>
              <w:t>Objective(s)</w:t>
            </w:r>
          </w:p>
        </w:tc>
        <w:tc>
          <w:tcPr>
            <w:tcW w:w="434" w:type="dxa"/>
            <w:shd w:val="clear" w:color="auto" w:fill="632423" w:themeFill="accent2" w:themeFillShade="80"/>
          </w:tcPr>
          <w:p w14:paraId="49C4D32A" w14:textId="7119AB7B" w:rsidR="00A11DFF" w:rsidRPr="00B47D59" w:rsidRDefault="00CD37CD" w:rsidP="009D70B2">
            <w:pPr>
              <w:pStyle w:val="Normal-Arial"/>
            </w:pPr>
            <w:r>
              <w:t>Value</w:t>
            </w:r>
          </w:p>
        </w:tc>
        <w:tc>
          <w:tcPr>
            <w:tcW w:w="2093" w:type="dxa"/>
            <w:shd w:val="clear" w:color="auto" w:fill="632423" w:themeFill="accent2" w:themeFillShade="80"/>
          </w:tcPr>
          <w:p w14:paraId="1EE5DC0F" w14:textId="16AD9F89" w:rsidR="00A11DFF" w:rsidRPr="00B47D59" w:rsidRDefault="00CD37CD" w:rsidP="009D70B2">
            <w:pPr>
              <w:pStyle w:val="Normal-Arial"/>
            </w:pPr>
            <w:r>
              <w:t>Due Date</w:t>
            </w:r>
          </w:p>
        </w:tc>
        <w:tc>
          <w:tcPr>
            <w:tcW w:w="1978"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C25C27" w:rsidRPr="00B47D59" w14:paraId="3CAC4C9F" w14:textId="77777777" w:rsidTr="00F04409">
        <w:trPr>
          <w:tblHeader/>
        </w:trPr>
        <w:tc>
          <w:tcPr>
            <w:tcW w:w="1518" w:type="dxa"/>
          </w:tcPr>
          <w:p w14:paraId="3643BE3F" w14:textId="570D954A" w:rsidR="00D47E67" w:rsidRDefault="00ED47D3" w:rsidP="00D47E67">
            <w:pPr>
              <w:pStyle w:val="Normal-Arial"/>
            </w:pPr>
            <w:proofErr w:type="gramStart"/>
            <w:r>
              <w:t xml:space="preserve">Programming </w:t>
            </w:r>
            <w:r w:rsidR="00D47E67">
              <w:t xml:space="preserve"> Assignments</w:t>
            </w:r>
            <w:proofErr w:type="gramEnd"/>
          </w:p>
        </w:tc>
        <w:tc>
          <w:tcPr>
            <w:tcW w:w="3337" w:type="dxa"/>
          </w:tcPr>
          <w:p w14:paraId="5FE63EAB" w14:textId="00B46278" w:rsidR="00D47E67" w:rsidRDefault="00762974" w:rsidP="00D47E67">
            <w:pPr>
              <w:pStyle w:val="Normal-Arial"/>
            </w:pPr>
            <w:r w:rsidRPr="000E5609">
              <w:t xml:space="preserve">You will complete </w:t>
            </w:r>
            <w:r>
              <w:t>several small and large Python programming assignments</w:t>
            </w:r>
            <w:r w:rsidRPr="000E5609">
              <w:t xml:space="preserve"> designed to assess your ability to implement the concepts cove</w:t>
            </w:r>
            <w:r>
              <w:t>red in this course</w:t>
            </w:r>
          </w:p>
        </w:tc>
        <w:tc>
          <w:tcPr>
            <w:tcW w:w="434" w:type="dxa"/>
          </w:tcPr>
          <w:p w14:paraId="1EFF0069" w14:textId="7BC30493" w:rsidR="00D47E67" w:rsidRDefault="00BB0F58" w:rsidP="00D47E67">
            <w:pPr>
              <w:pStyle w:val="Normal-Arial"/>
            </w:pPr>
            <w:r>
              <w:t>4</w:t>
            </w:r>
            <w:r w:rsidR="00A24063">
              <w:t>0 points</w:t>
            </w:r>
          </w:p>
        </w:tc>
        <w:tc>
          <w:tcPr>
            <w:tcW w:w="2093" w:type="dxa"/>
          </w:tcPr>
          <w:p w14:paraId="37BF9144" w14:textId="4132D375" w:rsidR="00D47E67" w:rsidRDefault="004D777F" w:rsidP="00D47E67">
            <w:pPr>
              <w:pStyle w:val="Normal-Arial"/>
            </w:pPr>
            <w:r>
              <w:t>1 to 2 weeks</w:t>
            </w:r>
          </w:p>
        </w:tc>
        <w:tc>
          <w:tcPr>
            <w:tcW w:w="1978" w:type="dxa"/>
          </w:tcPr>
          <w:p w14:paraId="4B349E5E" w14:textId="6B7061A5" w:rsidR="00D47E67" w:rsidRPr="00D74A08" w:rsidRDefault="00C36B2C" w:rsidP="00D47E67">
            <w:pPr>
              <w:pStyle w:val="Normal-Arial"/>
            </w:pPr>
            <w:r>
              <w:t>The assignments</w:t>
            </w:r>
            <w:r w:rsidRPr="000E5609">
              <w:t xml:space="preserve"> should be completed individually </w:t>
            </w:r>
            <w:r>
              <w:t>unless</w:t>
            </w:r>
            <w:r w:rsidRPr="000E5609">
              <w:t xml:space="preserve"> specifically stated.</w:t>
            </w:r>
          </w:p>
        </w:tc>
      </w:tr>
      <w:tr w:rsidR="00C25C27" w:rsidRPr="00B47D59" w14:paraId="10C75BE6" w14:textId="77777777" w:rsidTr="00F04409">
        <w:trPr>
          <w:tblHeader/>
        </w:trPr>
        <w:tc>
          <w:tcPr>
            <w:tcW w:w="1518" w:type="dxa"/>
          </w:tcPr>
          <w:p w14:paraId="7B878B26" w14:textId="6346FC8F" w:rsidR="00AD65EC" w:rsidRDefault="00AD65EC" w:rsidP="00D47E67">
            <w:pPr>
              <w:pStyle w:val="Normal-Arial"/>
            </w:pPr>
            <w:r>
              <w:t>Quizzes</w:t>
            </w:r>
          </w:p>
        </w:tc>
        <w:tc>
          <w:tcPr>
            <w:tcW w:w="3337" w:type="dxa"/>
          </w:tcPr>
          <w:p w14:paraId="19F22F83" w14:textId="63A381FD" w:rsidR="00AD65EC" w:rsidRPr="000E5609" w:rsidRDefault="00AD65EC" w:rsidP="00D47E67">
            <w:pPr>
              <w:pStyle w:val="Normal-Arial"/>
            </w:pPr>
            <w:r>
              <w:t xml:space="preserve">After each chapter </w:t>
            </w:r>
            <w:r w:rsidR="002F4553">
              <w:t xml:space="preserve">is </w:t>
            </w:r>
            <w:r>
              <w:t>complete there will be quizzes on the subject matter</w:t>
            </w:r>
          </w:p>
        </w:tc>
        <w:tc>
          <w:tcPr>
            <w:tcW w:w="434" w:type="dxa"/>
          </w:tcPr>
          <w:p w14:paraId="7B156E0E" w14:textId="6D9BC9F2" w:rsidR="00AD65EC" w:rsidRDefault="00AD65EC" w:rsidP="00D47E67">
            <w:pPr>
              <w:pStyle w:val="Normal-Arial"/>
            </w:pPr>
            <w:r>
              <w:t>10 points</w:t>
            </w:r>
          </w:p>
        </w:tc>
        <w:tc>
          <w:tcPr>
            <w:tcW w:w="2093" w:type="dxa"/>
          </w:tcPr>
          <w:p w14:paraId="002C1B81" w14:textId="0C9F3D22" w:rsidR="00AD65EC" w:rsidRDefault="00AD65EC" w:rsidP="00D47E67">
            <w:pPr>
              <w:pStyle w:val="Normal-Arial"/>
            </w:pPr>
            <w:r>
              <w:t>-</w:t>
            </w:r>
          </w:p>
        </w:tc>
        <w:tc>
          <w:tcPr>
            <w:tcW w:w="1978" w:type="dxa"/>
          </w:tcPr>
          <w:p w14:paraId="3727E6A0" w14:textId="53F90144" w:rsidR="00AD65EC" w:rsidRDefault="00AD65EC" w:rsidP="00D47E67">
            <w:pPr>
              <w:pStyle w:val="Normal-Arial"/>
            </w:pPr>
            <w:r>
              <w:t>-</w:t>
            </w:r>
          </w:p>
        </w:tc>
      </w:tr>
      <w:tr w:rsidR="007021C7" w:rsidRPr="00B47D59" w14:paraId="74B3B131" w14:textId="77777777" w:rsidTr="00F04409">
        <w:trPr>
          <w:tblHeader/>
        </w:trPr>
        <w:tc>
          <w:tcPr>
            <w:tcW w:w="1518" w:type="dxa"/>
          </w:tcPr>
          <w:p w14:paraId="05F92E53" w14:textId="3B98ABF6" w:rsidR="007021C7" w:rsidRDefault="007021C7" w:rsidP="007021C7">
            <w:pPr>
              <w:pStyle w:val="Normal-Arial"/>
            </w:pPr>
            <w:r>
              <w:t>Attendance/In-class completed notebook submission</w:t>
            </w:r>
          </w:p>
        </w:tc>
        <w:tc>
          <w:tcPr>
            <w:tcW w:w="3337" w:type="dxa"/>
          </w:tcPr>
          <w:p w14:paraId="4372CC71" w14:textId="7E17F502" w:rsidR="007021C7" w:rsidRDefault="007021C7" w:rsidP="007021C7">
            <w:pPr>
              <w:pStyle w:val="Normal-Arial"/>
            </w:pPr>
            <w:r>
              <w:t xml:space="preserve">We will be working on </w:t>
            </w:r>
            <w:r w:rsidR="00027A8A">
              <w:t>in-class</w:t>
            </w:r>
            <w:r>
              <w:t xml:space="preserve"> notebooks. After completion of each chapter, you will have to submit the completed class</w:t>
            </w:r>
            <w:r w:rsidR="00027A8A">
              <w:t xml:space="preserve"> notebook within the assigned time using GitHub and Moodle</w:t>
            </w:r>
          </w:p>
        </w:tc>
        <w:tc>
          <w:tcPr>
            <w:tcW w:w="434" w:type="dxa"/>
          </w:tcPr>
          <w:p w14:paraId="2619DDEC" w14:textId="3E4FBECB" w:rsidR="007021C7" w:rsidRDefault="00081C1E" w:rsidP="007021C7">
            <w:pPr>
              <w:pStyle w:val="Normal-Arial"/>
            </w:pPr>
            <w:r>
              <w:t>10 points</w:t>
            </w:r>
          </w:p>
        </w:tc>
        <w:tc>
          <w:tcPr>
            <w:tcW w:w="2093" w:type="dxa"/>
          </w:tcPr>
          <w:p w14:paraId="49637C87" w14:textId="59959503" w:rsidR="007021C7" w:rsidRDefault="00081C1E" w:rsidP="007021C7">
            <w:pPr>
              <w:pStyle w:val="Normal-Arial"/>
            </w:pPr>
            <w:r>
              <w:t xml:space="preserve">End of </w:t>
            </w:r>
            <w:r w:rsidR="00F04409">
              <w:t>each</w:t>
            </w:r>
            <w:r>
              <w:t xml:space="preserve"> </w:t>
            </w:r>
            <w:r w:rsidR="00F04409">
              <w:t>chapter</w:t>
            </w:r>
          </w:p>
        </w:tc>
        <w:tc>
          <w:tcPr>
            <w:tcW w:w="1978" w:type="dxa"/>
          </w:tcPr>
          <w:p w14:paraId="08AD2010" w14:textId="77777777" w:rsidR="007021C7" w:rsidRDefault="007021C7" w:rsidP="007021C7">
            <w:pPr>
              <w:pStyle w:val="Normal-Arial"/>
            </w:pPr>
          </w:p>
        </w:tc>
      </w:tr>
      <w:tr w:rsidR="007021C7" w:rsidRPr="00B47D59" w14:paraId="366A0CEE" w14:textId="77777777" w:rsidTr="00F04409">
        <w:trPr>
          <w:tblHeader/>
        </w:trPr>
        <w:tc>
          <w:tcPr>
            <w:tcW w:w="1518" w:type="dxa"/>
          </w:tcPr>
          <w:p w14:paraId="6A5F7674" w14:textId="00D3502C" w:rsidR="007021C7" w:rsidRPr="00EC5C93" w:rsidRDefault="007021C7" w:rsidP="007021C7">
            <w:pPr>
              <w:pStyle w:val="Normal-Arial"/>
            </w:pPr>
            <w:r w:rsidRPr="00EC5C93">
              <w:t>Mid-Term Exam</w:t>
            </w:r>
            <w:r>
              <w:t xml:space="preserve"> (2)</w:t>
            </w:r>
          </w:p>
        </w:tc>
        <w:tc>
          <w:tcPr>
            <w:tcW w:w="3337" w:type="dxa"/>
          </w:tcPr>
          <w:p w14:paraId="6B50243E" w14:textId="503E6928" w:rsidR="007021C7" w:rsidRPr="00EC5C93" w:rsidRDefault="007021C7" w:rsidP="007021C7">
            <w:pPr>
              <w:pStyle w:val="Normal-Arial"/>
            </w:pPr>
            <w:r>
              <w:t>Ac</w:t>
            </w:r>
            <w:r w:rsidRPr="001E43A6">
              <w:t xml:space="preserve">cess your understanding of </w:t>
            </w:r>
            <w:r>
              <w:t xml:space="preserve">the </w:t>
            </w:r>
            <w:r w:rsidRPr="001E43A6">
              <w:t xml:space="preserve">material covered in class up to that point. </w:t>
            </w:r>
          </w:p>
        </w:tc>
        <w:tc>
          <w:tcPr>
            <w:tcW w:w="434" w:type="dxa"/>
          </w:tcPr>
          <w:p w14:paraId="7C8B5222" w14:textId="4A6FECD9" w:rsidR="007021C7" w:rsidRPr="00EC5C93" w:rsidRDefault="00BB0F58" w:rsidP="007021C7">
            <w:pPr>
              <w:pStyle w:val="Normal-Arial"/>
            </w:pPr>
            <w:r>
              <w:t>2</w:t>
            </w:r>
            <w:r w:rsidR="007021C7">
              <w:t>0 points</w:t>
            </w:r>
          </w:p>
        </w:tc>
        <w:tc>
          <w:tcPr>
            <w:tcW w:w="2093" w:type="dxa"/>
          </w:tcPr>
          <w:p w14:paraId="535FD6AE" w14:textId="77777777" w:rsidR="007021C7" w:rsidRDefault="007021C7" w:rsidP="007021C7">
            <w:pPr>
              <w:pStyle w:val="Normal-Arial"/>
            </w:pPr>
            <w:r>
              <w:t xml:space="preserve"> Midterm1: 02/15/2023</w:t>
            </w:r>
          </w:p>
          <w:p w14:paraId="6BE72D7C" w14:textId="77777777" w:rsidR="007021C7" w:rsidRDefault="007021C7" w:rsidP="007021C7">
            <w:pPr>
              <w:pStyle w:val="Normal-Arial"/>
            </w:pPr>
            <w:r>
              <w:t xml:space="preserve">Midterm2 part1: </w:t>
            </w:r>
          </w:p>
          <w:p w14:paraId="05817EF8" w14:textId="77777777" w:rsidR="007021C7" w:rsidRDefault="007021C7" w:rsidP="007021C7">
            <w:pPr>
              <w:pStyle w:val="Normal-Arial"/>
            </w:pPr>
            <w:r>
              <w:t>04/19/2023</w:t>
            </w:r>
          </w:p>
          <w:p w14:paraId="07DAED0C" w14:textId="4054BFCD" w:rsidR="007021C7" w:rsidRPr="00EC5C93" w:rsidRDefault="007021C7" w:rsidP="007021C7">
            <w:pPr>
              <w:pStyle w:val="Normal-Arial"/>
            </w:pPr>
            <w:r>
              <w:t>Part2: 04/21/2023</w:t>
            </w:r>
          </w:p>
        </w:tc>
        <w:tc>
          <w:tcPr>
            <w:tcW w:w="1978" w:type="dxa"/>
          </w:tcPr>
          <w:p w14:paraId="74C4A139" w14:textId="6EE60DA2" w:rsidR="007021C7" w:rsidRPr="00EC5C93" w:rsidRDefault="007021C7" w:rsidP="007021C7">
            <w:pPr>
              <w:pStyle w:val="Normal-Arial"/>
            </w:pPr>
            <w:r w:rsidRPr="001E43A6">
              <w:t xml:space="preserve">The regular exams will be closed </w:t>
            </w:r>
            <w:r>
              <w:t>books</w:t>
            </w:r>
            <w:r w:rsidRPr="001E43A6">
              <w:t xml:space="preserve">, </w:t>
            </w:r>
            <w:r>
              <w:t xml:space="preserve">and </w:t>
            </w:r>
            <w:r w:rsidRPr="001E43A6">
              <w:t>closed</w:t>
            </w:r>
            <w:r>
              <w:t xml:space="preserve"> </w:t>
            </w:r>
            <w:r w:rsidRPr="001E43A6">
              <w:t xml:space="preserve">notes.    </w:t>
            </w:r>
          </w:p>
        </w:tc>
      </w:tr>
      <w:tr w:rsidR="007021C7" w:rsidRPr="00B47D59" w14:paraId="43A90614" w14:textId="77777777" w:rsidTr="00F04409">
        <w:trPr>
          <w:tblHeader/>
        </w:trPr>
        <w:tc>
          <w:tcPr>
            <w:tcW w:w="1518" w:type="dxa"/>
          </w:tcPr>
          <w:p w14:paraId="31300AC5" w14:textId="285C0D5F" w:rsidR="007021C7" w:rsidRPr="00EC5C93" w:rsidRDefault="007021C7" w:rsidP="007021C7">
            <w:pPr>
              <w:pStyle w:val="Normal-Arial"/>
            </w:pPr>
            <w:r>
              <w:t>Project (2-3)</w:t>
            </w:r>
          </w:p>
        </w:tc>
        <w:tc>
          <w:tcPr>
            <w:tcW w:w="3337" w:type="dxa"/>
          </w:tcPr>
          <w:p w14:paraId="1B19E5AF" w14:textId="01CF2E80" w:rsidR="007021C7" w:rsidRDefault="007021C7" w:rsidP="007021C7">
            <w:pPr>
              <w:pStyle w:val="Normal-Arial"/>
            </w:pPr>
            <w:r>
              <w:t>Access your understanding of techniques covered in class</w:t>
            </w:r>
          </w:p>
        </w:tc>
        <w:tc>
          <w:tcPr>
            <w:tcW w:w="434" w:type="dxa"/>
          </w:tcPr>
          <w:p w14:paraId="4B8D344E" w14:textId="0437A76A" w:rsidR="007021C7" w:rsidRDefault="007021C7" w:rsidP="007021C7">
            <w:pPr>
              <w:pStyle w:val="Normal-Arial"/>
            </w:pPr>
            <w:r>
              <w:t>20 points</w:t>
            </w:r>
          </w:p>
        </w:tc>
        <w:tc>
          <w:tcPr>
            <w:tcW w:w="2093" w:type="dxa"/>
          </w:tcPr>
          <w:p w14:paraId="2FAF5E76" w14:textId="6CF5EE8B" w:rsidR="007021C7" w:rsidRDefault="007021C7" w:rsidP="007021C7">
            <w:pPr>
              <w:pStyle w:val="Normal-Arial"/>
            </w:pPr>
            <w:r>
              <w:t>Final project: 5/1/2023</w:t>
            </w:r>
          </w:p>
          <w:p w14:paraId="031C63FD" w14:textId="75C7A1E4" w:rsidR="007021C7" w:rsidRDefault="007021C7" w:rsidP="007021C7">
            <w:pPr>
              <w:pStyle w:val="Normal-Arial"/>
            </w:pPr>
            <w:r>
              <w:t>8 AM – 11 AM</w:t>
            </w:r>
          </w:p>
        </w:tc>
        <w:tc>
          <w:tcPr>
            <w:tcW w:w="1978" w:type="dxa"/>
          </w:tcPr>
          <w:p w14:paraId="7334979B" w14:textId="32DDBEA2" w:rsidR="007021C7" w:rsidRPr="001E43A6" w:rsidRDefault="007021C7" w:rsidP="007021C7">
            <w:pPr>
              <w:pStyle w:val="Normal-Arial"/>
            </w:pPr>
            <w:r>
              <w:t>Group of two/ three</w:t>
            </w:r>
          </w:p>
        </w:tc>
      </w:tr>
    </w:tbl>
    <w:p w14:paraId="7C4C4483" w14:textId="77777777" w:rsidR="00CB13CF" w:rsidRDefault="00CB13CF" w:rsidP="00EF5CA5">
      <w:pPr>
        <w:pStyle w:val="Heading4-Arial"/>
        <w:rPr>
          <w:b/>
          <w:bCs/>
          <w:i w:val="0"/>
          <w:iCs w:val="0"/>
          <w:sz w:val="28"/>
          <w:szCs w:val="28"/>
        </w:rPr>
      </w:pPr>
      <w:bookmarkStart w:id="9" w:name="_Toc104378954"/>
    </w:p>
    <w:p w14:paraId="7BFAD868" w14:textId="50AC3BBE"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71D9B376" w14:textId="77777777" w:rsidR="00C8233F" w:rsidRDefault="008326D5" w:rsidP="008326D5">
      <w:pPr>
        <w:pStyle w:val="Heading4-Arial"/>
        <w:rPr>
          <w:b/>
          <w:bCs/>
        </w:rPr>
      </w:pPr>
      <w:r w:rsidRPr="002717AE">
        <w:rPr>
          <w:b/>
          <w:bCs/>
        </w:rPr>
        <w:t xml:space="preserve">Module 0 – </w:t>
      </w:r>
      <w:r w:rsidR="00C8233F" w:rsidRPr="00C8233F">
        <w:rPr>
          <w:b/>
          <w:bCs/>
        </w:rPr>
        <w:t>Course Introduction</w:t>
      </w:r>
    </w:p>
    <w:p w14:paraId="66FF4CBE" w14:textId="5A650E12"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65BF8645" w14:textId="1BAC4DF4" w:rsidR="008326D5" w:rsidRPr="002717AE" w:rsidRDefault="008326D5" w:rsidP="0011079C">
      <w:pPr>
        <w:pStyle w:val="Heading4-Arial"/>
        <w:rPr>
          <w:b/>
          <w:bCs/>
        </w:rPr>
      </w:pPr>
      <w:r w:rsidRPr="002717AE">
        <w:rPr>
          <w:b/>
          <w:bCs/>
        </w:rPr>
        <w:t xml:space="preserve">Module 1 – </w:t>
      </w:r>
      <w:r w:rsidR="0011079C" w:rsidRPr="0011079C">
        <w:rPr>
          <w:b/>
          <w:bCs/>
        </w:rPr>
        <w:t>Variables and</w:t>
      </w:r>
      <w:r w:rsidR="0011079C">
        <w:rPr>
          <w:b/>
          <w:bCs/>
        </w:rPr>
        <w:t xml:space="preserve"> </w:t>
      </w:r>
      <w:r w:rsidR="0011079C" w:rsidRPr="0011079C">
        <w:rPr>
          <w:b/>
          <w:bCs/>
        </w:rPr>
        <w:t>Simple Data Types</w:t>
      </w:r>
    </w:p>
    <w:p w14:paraId="7F8EFC0D" w14:textId="77777777" w:rsidR="008326D5" w:rsidRPr="002A57FC" w:rsidRDefault="008326D5" w:rsidP="008326D5">
      <w:pPr>
        <w:pStyle w:val="Heading5"/>
      </w:pPr>
      <w:r w:rsidRPr="002A57FC">
        <w:lastRenderedPageBreak/>
        <w:t>Prepare</w:t>
      </w:r>
    </w:p>
    <w:p w14:paraId="17A615DE" w14:textId="1E083F2E" w:rsidR="00C13205" w:rsidRDefault="00C13205" w:rsidP="00C13205">
      <w:pPr>
        <w:pStyle w:val="ListParagraph-Arial"/>
      </w:pPr>
      <w:proofErr w:type="gramStart"/>
      <w:r>
        <w:t>Reading</w:t>
      </w:r>
      <w:r>
        <w:rPr>
          <w:vertAlign w:val="superscript"/>
        </w:rPr>
        <w:t xml:space="preserve"> </w:t>
      </w:r>
      <w:r>
        <w:t xml:space="preserve"> Chapter</w:t>
      </w:r>
      <w:proofErr w:type="gramEnd"/>
      <w:r>
        <w:t xml:space="preserve">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1C9B1E00" w:rsidR="00F13F3B" w:rsidRDefault="0011079C" w:rsidP="00F13F3B">
      <w:pPr>
        <w:pStyle w:val="ListParagraph-Arial"/>
      </w:pPr>
      <w:r>
        <w:t>A</w:t>
      </w:r>
      <w:r w:rsidR="00F13F3B">
        <w:t>ssignment 1</w:t>
      </w:r>
    </w:p>
    <w:p w14:paraId="05DAAD8F" w14:textId="77777777" w:rsidR="004775E8" w:rsidRPr="002A57FC" w:rsidRDefault="004775E8" w:rsidP="004775E8">
      <w:pPr>
        <w:pStyle w:val="ListParagraph-Arial"/>
        <w:numPr>
          <w:ilvl w:val="0"/>
          <w:numId w:val="0"/>
        </w:numPr>
        <w:ind w:left="720"/>
      </w:pPr>
    </w:p>
    <w:p w14:paraId="5AAA146E" w14:textId="12C3DE13" w:rsidR="008326D5" w:rsidRPr="002717AE" w:rsidRDefault="008326D5" w:rsidP="008326D5">
      <w:pPr>
        <w:pStyle w:val="Heading4-Arial"/>
        <w:rPr>
          <w:b/>
          <w:bCs/>
        </w:rPr>
      </w:pPr>
      <w:r w:rsidRPr="002717AE">
        <w:rPr>
          <w:b/>
          <w:bCs/>
        </w:rPr>
        <w:t xml:space="preserve">Module 2 – </w:t>
      </w:r>
      <w:r w:rsidR="00EA60A8" w:rsidRPr="00EA60A8">
        <w:rPr>
          <w:b/>
          <w:bCs/>
        </w:rPr>
        <w:t>Introducing Lists</w:t>
      </w:r>
      <w:r w:rsidR="00697A93">
        <w:rPr>
          <w:b/>
          <w:bCs/>
        </w:rPr>
        <w:t>, Tuples</w:t>
      </w:r>
    </w:p>
    <w:p w14:paraId="49DEA3FD" w14:textId="77777777" w:rsidR="008326D5" w:rsidRPr="002A57FC" w:rsidRDefault="008326D5" w:rsidP="008326D5">
      <w:pPr>
        <w:pStyle w:val="Heading5"/>
      </w:pPr>
      <w:r w:rsidRPr="002A57FC">
        <w:t>Prepare</w:t>
      </w:r>
    </w:p>
    <w:p w14:paraId="54611660" w14:textId="5045484D"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00E91D34">
        <w:rPr>
          <w:iCs/>
          <w:sz w:val="20"/>
          <w:szCs w:val="18"/>
        </w:rPr>
        <w:t>Chapters</w:t>
      </w:r>
      <w:r w:rsidRPr="00211AE9">
        <w:rPr>
          <w:iCs/>
          <w:sz w:val="20"/>
          <w:szCs w:val="18"/>
        </w:rPr>
        <w:t xml:space="preserve"> </w:t>
      </w:r>
      <w:r w:rsidRPr="000432AA">
        <w:rPr>
          <w:iCs/>
          <w:sz w:val="20"/>
          <w:szCs w:val="18"/>
        </w:rPr>
        <w:t>3</w:t>
      </w:r>
      <w:r w:rsidR="00747CAC">
        <w:rPr>
          <w:iCs/>
          <w:sz w:val="20"/>
          <w:szCs w:val="18"/>
        </w:rPr>
        <w:t>,4</w:t>
      </w:r>
    </w:p>
    <w:p w14:paraId="0382E8F7" w14:textId="77777777" w:rsidR="008326D5" w:rsidRPr="002A57FC" w:rsidRDefault="008326D5" w:rsidP="008326D5">
      <w:pPr>
        <w:pStyle w:val="Heading5"/>
      </w:pPr>
      <w:r w:rsidRPr="002A57FC">
        <w:t>Practice</w:t>
      </w:r>
    </w:p>
    <w:p w14:paraId="4C084D5A" w14:textId="4597D254" w:rsidR="00211AE9" w:rsidRPr="002A57FC" w:rsidRDefault="00EA60A8" w:rsidP="00211AE9">
      <w:pPr>
        <w:pStyle w:val="ListParagraph-Arial"/>
      </w:pPr>
      <w:r>
        <w:t>A</w:t>
      </w:r>
      <w:r w:rsidR="00211AE9">
        <w:t>ssignment 2</w:t>
      </w:r>
    </w:p>
    <w:p w14:paraId="5C86A41D" w14:textId="77777777" w:rsidR="008326D5" w:rsidRPr="002A57FC" w:rsidRDefault="008326D5" w:rsidP="008326D5">
      <w:pPr>
        <w:pStyle w:val="Heading5"/>
      </w:pPr>
      <w:r w:rsidRPr="002A57FC">
        <w:t>Perform</w:t>
      </w:r>
    </w:p>
    <w:p w14:paraId="059A0EEB" w14:textId="12B8492D" w:rsidR="00211AE9" w:rsidRPr="002A57FC" w:rsidRDefault="00EA60A8" w:rsidP="00211AE9">
      <w:pPr>
        <w:pStyle w:val="ListParagraph-Arial"/>
      </w:pPr>
      <w:r>
        <w:t>Quiz</w:t>
      </w:r>
      <w:r w:rsidR="00747CAC">
        <w:t xml:space="preserve"> </w:t>
      </w:r>
      <w:r>
        <w:t>1</w:t>
      </w:r>
    </w:p>
    <w:p w14:paraId="695A0279" w14:textId="5D10BED7" w:rsidR="008326D5" w:rsidRPr="002717AE" w:rsidRDefault="008326D5" w:rsidP="008326D5">
      <w:pPr>
        <w:pStyle w:val="Heading4-Arial"/>
        <w:rPr>
          <w:b/>
          <w:bCs/>
        </w:rPr>
      </w:pPr>
      <w:r w:rsidRPr="002717AE">
        <w:rPr>
          <w:b/>
          <w:bCs/>
        </w:rPr>
        <w:t xml:space="preserve">Module 3 – </w:t>
      </w:r>
      <w:r w:rsidR="00747CAC" w:rsidRPr="00747CAC">
        <w:rPr>
          <w:b/>
          <w:bCs/>
        </w:rPr>
        <w:t>if Statements</w:t>
      </w:r>
    </w:p>
    <w:p w14:paraId="3D1DC322" w14:textId="77777777" w:rsidR="008326D5" w:rsidRPr="002A57FC" w:rsidRDefault="008326D5" w:rsidP="008326D5">
      <w:pPr>
        <w:pStyle w:val="Heading5"/>
      </w:pPr>
      <w:r w:rsidRPr="002A57FC">
        <w:t>Prepare</w:t>
      </w:r>
    </w:p>
    <w:p w14:paraId="11232653" w14:textId="3C8D7333"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sidR="001E1B22">
        <w:rPr>
          <w:rFonts w:eastAsiaTheme="minorHAnsi" w:cs="Arial"/>
          <w:bCs w:val="0"/>
          <w:color w:val="auto"/>
          <w:sz w:val="20"/>
        </w:rPr>
        <w:t>5</w:t>
      </w:r>
    </w:p>
    <w:p w14:paraId="0D898696" w14:textId="5993AB65" w:rsidR="008326D5" w:rsidRPr="002A57FC" w:rsidRDefault="008326D5" w:rsidP="008326D5">
      <w:pPr>
        <w:pStyle w:val="Heading5"/>
      </w:pPr>
      <w:r w:rsidRPr="002A57FC">
        <w:t>Practice</w:t>
      </w:r>
    </w:p>
    <w:p w14:paraId="3020EB19" w14:textId="654B0C23" w:rsidR="000432AA" w:rsidRPr="002A57FC" w:rsidRDefault="00747CAC" w:rsidP="000432AA">
      <w:pPr>
        <w:pStyle w:val="ListParagraph-Arial"/>
      </w:pPr>
      <w:r>
        <w:t>A</w:t>
      </w:r>
      <w:r w:rsidR="000432AA">
        <w:t>ssignment 3</w:t>
      </w:r>
    </w:p>
    <w:p w14:paraId="55108DED" w14:textId="77777777" w:rsidR="008326D5" w:rsidRPr="002A57FC" w:rsidRDefault="008326D5" w:rsidP="008326D5">
      <w:pPr>
        <w:pStyle w:val="Heading5"/>
      </w:pPr>
      <w:r w:rsidRPr="002A57FC">
        <w:t>Perform</w:t>
      </w:r>
    </w:p>
    <w:p w14:paraId="312EDFDB" w14:textId="42DC0EF3" w:rsidR="00747CAC" w:rsidRDefault="00747CAC" w:rsidP="00747CAC">
      <w:pPr>
        <w:pStyle w:val="ListParagraph-Arial"/>
      </w:pPr>
      <w:r>
        <w:t>Quiz 2</w:t>
      </w:r>
    </w:p>
    <w:p w14:paraId="13E73933" w14:textId="608B15C1" w:rsidR="006535BC" w:rsidRPr="002717AE" w:rsidRDefault="006535BC" w:rsidP="006535BC">
      <w:pPr>
        <w:pStyle w:val="Heading4-Arial"/>
        <w:rPr>
          <w:b/>
          <w:bCs/>
        </w:rPr>
      </w:pPr>
      <w:r w:rsidRPr="002717AE">
        <w:rPr>
          <w:b/>
          <w:bCs/>
        </w:rPr>
        <w:t xml:space="preserve">Module 4 – </w:t>
      </w:r>
      <w:r w:rsidR="00653142" w:rsidRPr="00653142">
        <w:rPr>
          <w:b/>
          <w:bCs/>
        </w:rPr>
        <w:t>Dictionaries</w:t>
      </w:r>
    </w:p>
    <w:p w14:paraId="288A1BD7" w14:textId="77777777" w:rsidR="006535BC" w:rsidRPr="002A57FC" w:rsidRDefault="006535BC" w:rsidP="006535BC">
      <w:pPr>
        <w:pStyle w:val="Heading5"/>
      </w:pPr>
      <w:r w:rsidRPr="002A57FC">
        <w:t>Prepare</w:t>
      </w:r>
    </w:p>
    <w:p w14:paraId="555AD76D" w14:textId="076E86FC"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653142">
        <w:rPr>
          <w:rFonts w:eastAsiaTheme="minorHAnsi" w:cs="Arial"/>
          <w:bCs w:val="0"/>
          <w:color w:val="auto"/>
          <w:sz w:val="20"/>
        </w:rPr>
        <w:t>6</w:t>
      </w:r>
    </w:p>
    <w:p w14:paraId="1D4AE694" w14:textId="77777777" w:rsidR="006535BC" w:rsidRPr="002A57FC" w:rsidRDefault="006535BC" w:rsidP="006535BC">
      <w:pPr>
        <w:pStyle w:val="Heading5"/>
      </w:pPr>
      <w:r w:rsidRPr="002A57FC">
        <w:t>Perform</w:t>
      </w:r>
    </w:p>
    <w:p w14:paraId="1DF5A219" w14:textId="07AA1335" w:rsidR="00C11FFE" w:rsidRDefault="00C11FFE" w:rsidP="00C11FFE">
      <w:pPr>
        <w:pStyle w:val="ListParagraph-Arial"/>
      </w:pPr>
      <w:r>
        <w:t>Quiz 3</w:t>
      </w:r>
    </w:p>
    <w:p w14:paraId="13488C56" w14:textId="02C0BCBB" w:rsidR="00D16709" w:rsidRPr="002717AE" w:rsidRDefault="00D16709" w:rsidP="00D16709">
      <w:pPr>
        <w:pStyle w:val="Heading4-Arial"/>
        <w:rPr>
          <w:b/>
          <w:bCs/>
        </w:rPr>
      </w:pPr>
      <w:r w:rsidRPr="002717AE">
        <w:rPr>
          <w:b/>
          <w:bCs/>
        </w:rPr>
        <w:t>Module 5 –</w:t>
      </w:r>
      <w:r w:rsidR="00807DE6">
        <w:rPr>
          <w:b/>
          <w:bCs/>
        </w:rPr>
        <w:t xml:space="preserve"> While Loops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6B7FCAD7" w:rsidR="00D16709" w:rsidRPr="002A57FC" w:rsidRDefault="00EF5111" w:rsidP="00D16709">
      <w:pPr>
        <w:pStyle w:val="ListParagraph-Arial"/>
      </w:pPr>
      <w:r>
        <w:t>A</w:t>
      </w:r>
      <w:r w:rsidR="00D16709">
        <w:t xml:space="preserve">ssignment </w:t>
      </w:r>
      <w:r w:rsidR="00F625D0">
        <w:t>4</w:t>
      </w:r>
    </w:p>
    <w:p w14:paraId="58094872" w14:textId="77777777" w:rsidR="00D16709" w:rsidRPr="002A57FC" w:rsidRDefault="00D16709" w:rsidP="00D16709">
      <w:pPr>
        <w:pStyle w:val="Heading5"/>
      </w:pPr>
      <w:r w:rsidRPr="002A57FC">
        <w:t>Perform</w:t>
      </w:r>
    </w:p>
    <w:p w14:paraId="156CEA32" w14:textId="42D551ED" w:rsidR="00EF5111" w:rsidRDefault="00EF5111" w:rsidP="00EF5111">
      <w:pPr>
        <w:pStyle w:val="ListParagraph-Arial"/>
      </w:pPr>
      <w:r>
        <w:t>Quiz 4</w:t>
      </w:r>
    </w:p>
    <w:p w14:paraId="0CB4D714" w14:textId="4EEC2840" w:rsidR="009D0941" w:rsidRDefault="009D0941" w:rsidP="00EF5111">
      <w:pPr>
        <w:pStyle w:val="ListParagraph-Arial"/>
      </w:pPr>
      <w:r>
        <w:t>Project 1</w:t>
      </w:r>
    </w:p>
    <w:p w14:paraId="7CE6C0ED" w14:textId="3B842CFF" w:rsidR="00EF5111" w:rsidRDefault="00EF5111" w:rsidP="00EF5111">
      <w:pPr>
        <w:pStyle w:val="ListParagraph-Arial"/>
        <w:numPr>
          <w:ilvl w:val="0"/>
          <w:numId w:val="0"/>
        </w:numPr>
        <w:ind w:left="720" w:hanging="360"/>
      </w:pPr>
    </w:p>
    <w:p w14:paraId="36036256" w14:textId="38FA120B" w:rsidR="00EF5111" w:rsidRPr="002717AE" w:rsidRDefault="00EF5111" w:rsidP="00EF5111">
      <w:pPr>
        <w:pStyle w:val="Heading4-Arial"/>
        <w:rPr>
          <w:b/>
          <w:bCs/>
        </w:rPr>
      </w:pPr>
      <w:r w:rsidRPr="002717AE">
        <w:rPr>
          <w:b/>
          <w:bCs/>
        </w:rPr>
        <w:t xml:space="preserve">Module </w:t>
      </w:r>
      <w:r w:rsidR="00490C1E">
        <w:rPr>
          <w:b/>
          <w:bCs/>
        </w:rPr>
        <w:t>6</w:t>
      </w:r>
      <w:r w:rsidRPr="002717AE">
        <w:rPr>
          <w:b/>
          <w:bCs/>
        </w:rPr>
        <w:t xml:space="preserve"> –</w:t>
      </w:r>
      <w:r>
        <w:rPr>
          <w:b/>
          <w:bCs/>
        </w:rPr>
        <w:t xml:space="preserve"> </w:t>
      </w:r>
      <w:r w:rsidR="009D0941">
        <w:rPr>
          <w:b/>
          <w:bCs/>
        </w:rPr>
        <w:t>Functions</w:t>
      </w:r>
    </w:p>
    <w:p w14:paraId="3AE04A0B" w14:textId="77777777" w:rsidR="00EF5111" w:rsidRPr="002A57FC" w:rsidRDefault="00EF5111" w:rsidP="00EF5111">
      <w:pPr>
        <w:pStyle w:val="Heading5"/>
      </w:pPr>
      <w:r w:rsidRPr="002A57FC">
        <w:t>Prepare</w:t>
      </w:r>
    </w:p>
    <w:p w14:paraId="498568CE" w14:textId="35041049" w:rsidR="00EF5111" w:rsidRDefault="00EF5111" w:rsidP="00EF5111">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9D0941">
        <w:rPr>
          <w:rFonts w:eastAsiaTheme="minorHAnsi" w:cs="Arial"/>
          <w:bCs w:val="0"/>
          <w:color w:val="auto"/>
          <w:sz w:val="20"/>
        </w:rPr>
        <w:t>8</w:t>
      </w:r>
      <w:r w:rsidR="00814E56">
        <w:rPr>
          <w:rFonts w:eastAsiaTheme="minorHAnsi" w:cs="Arial"/>
          <w:bCs w:val="0"/>
          <w:color w:val="auto"/>
          <w:sz w:val="20"/>
        </w:rPr>
        <w:t>, 11</w:t>
      </w:r>
    </w:p>
    <w:p w14:paraId="1E127464" w14:textId="77777777" w:rsidR="00EF5111" w:rsidRPr="002A57FC" w:rsidRDefault="00EF5111" w:rsidP="00EF5111">
      <w:pPr>
        <w:pStyle w:val="Heading5"/>
      </w:pPr>
      <w:r w:rsidRPr="002A57FC">
        <w:t>Practice</w:t>
      </w:r>
    </w:p>
    <w:p w14:paraId="4507D3BB" w14:textId="6D95D7AD" w:rsidR="00EF5111" w:rsidRPr="002A57FC" w:rsidRDefault="00EF5111" w:rsidP="00EF5111">
      <w:pPr>
        <w:pStyle w:val="ListParagraph-Arial"/>
      </w:pPr>
      <w:r>
        <w:t xml:space="preserve">Assignment </w:t>
      </w:r>
      <w:r w:rsidR="00C64020">
        <w:t>5</w:t>
      </w:r>
    </w:p>
    <w:p w14:paraId="58BF17DD" w14:textId="46035451" w:rsidR="00EF5111" w:rsidRDefault="00EF5111" w:rsidP="00EF5111">
      <w:pPr>
        <w:pStyle w:val="ListParagraph-Arial"/>
        <w:numPr>
          <w:ilvl w:val="0"/>
          <w:numId w:val="0"/>
        </w:numPr>
        <w:ind w:left="720" w:hanging="360"/>
      </w:pPr>
    </w:p>
    <w:p w14:paraId="42A77BE2" w14:textId="5DB12226" w:rsidR="00814E56" w:rsidRPr="002717AE" w:rsidRDefault="00814E56" w:rsidP="00814E56">
      <w:pPr>
        <w:pStyle w:val="Heading4-Arial"/>
        <w:rPr>
          <w:b/>
          <w:bCs/>
        </w:rPr>
      </w:pPr>
      <w:r w:rsidRPr="002717AE">
        <w:rPr>
          <w:b/>
          <w:bCs/>
        </w:rPr>
        <w:t xml:space="preserve">Module </w:t>
      </w:r>
      <w:r w:rsidR="00490C1E">
        <w:rPr>
          <w:b/>
          <w:bCs/>
        </w:rPr>
        <w:t>7</w:t>
      </w:r>
      <w:r w:rsidRPr="002717AE">
        <w:rPr>
          <w:b/>
          <w:bCs/>
        </w:rPr>
        <w:t xml:space="preserve"> –</w:t>
      </w:r>
      <w:r>
        <w:rPr>
          <w:b/>
          <w:bCs/>
        </w:rPr>
        <w:t xml:space="preserve"> Classes</w:t>
      </w:r>
    </w:p>
    <w:p w14:paraId="2E486A50" w14:textId="77777777" w:rsidR="00814E56" w:rsidRPr="002A57FC" w:rsidRDefault="00814E56" w:rsidP="00814E56">
      <w:pPr>
        <w:pStyle w:val="Heading5"/>
      </w:pPr>
      <w:r w:rsidRPr="002A57FC">
        <w:lastRenderedPageBreak/>
        <w:t>Prepare</w:t>
      </w:r>
    </w:p>
    <w:p w14:paraId="2B235768" w14:textId="0358D259" w:rsidR="00814E56" w:rsidRDefault="00814E56" w:rsidP="00814E5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9, 11</w:t>
      </w:r>
    </w:p>
    <w:p w14:paraId="05DCEA2E" w14:textId="77777777" w:rsidR="00814E56" w:rsidRPr="002A57FC" w:rsidRDefault="00814E56" w:rsidP="00814E56">
      <w:pPr>
        <w:pStyle w:val="Heading5"/>
      </w:pPr>
      <w:r w:rsidRPr="002A57FC">
        <w:t>Practice</w:t>
      </w:r>
    </w:p>
    <w:p w14:paraId="07109F6F" w14:textId="53264804" w:rsidR="00814E56" w:rsidRPr="002A57FC" w:rsidRDefault="00814E56" w:rsidP="00814E56">
      <w:pPr>
        <w:pStyle w:val="ListParagraph-Arial"/>
      </w:pPr>
      <w:r>
        <w:t xml:space="preserve">Assignment </w:t>
      </w:r>
      <w:r w:rsidR="00C64020">
        <w:t>6</w:t>
      </w:r>
    </w:p>
    <w:p w14:paraId="23C12C0F" w14:textId="77777777" w:rsidR="00814E56" w:rsidRPr="002A57FC" w:rsidRDefault="00814E56" w:rsidP="00814E56">
      <w:pPr>
        <w:pStyle w:val="Heading5"/>
      </w:pPr>
      <w:r w:rsidRPr="002A57FC">
        <w:t>Perform</w:t>
      </w:r>
    </w:p>
    <w:p w14:paraId="44C400E8" w14:textId="4A42D69A" w:rsidR="00814E56" w:rsidRDefault="00814E56" w:rsidP="00814E56">
      <w:pPr>
        <w:pStyle w:val="ListParagraph-Arial"/>
      </w:pPr>
      <w:r>
        <w:t xml:space="preserve">Quiz </w:t>
      </w:r>
      <w:r w:rsidR="00EF7868">
        <w:t>6</w:t>
      </w:r>
    </w:p>
    <w:p w14:paraId="741D6C7F" w14:textId="225CF98D" w:rsidR="00EF7868" w:rsidRDefault="00EF7868" w:rsidP="00814E56">
      <w:pPr>
        <w:pStyle w:val="ListParagraph-Arial"/>
      </w:pPr>
      <w:r>
        <w:t>Project 2</w:t>
      </w:r>
    </w:p>
    <w:p w14:paraId="334C5019" w14:textId="7610BDEE" w:rsidR="006D0416" w:rsidRPr="002717AE" w:rsidRDefault="006D0416" w:rsidP="006D0416">
      <w:pPr>
        <w:pStyle w:val="Heading4-Arial"/>
        <w:rPr>
          <w:b/>
          <w:bCs/>
        </w:rPr>
      </w:pPr>
      <w:r w:rsidRPr="002717AE">
        <w:rPr>
          <w:b/>
          <w:bCs/>
        </w:rPr>
        <w:t xml:space="preserve">Module </w:t>
      </w:r>
      <w:r>
        <w:rPr>
          <w:b/>
          <w:bCs/>
        </w:rPr>
        <w:t>8</w:t>
      </w:r>
      <w:r w:rsidRPr="002717AE">
        <w:rPr>
          <w:b/>
          <w:bCs/>
        </w:rPr>
        <w:t xml:space="preserve"> –</w:t>
      </w:r>
      <w:r>
        <w:rPr>
          <w:b/>
          <w:bCs/>
        </w:rPr>
        <w:t xml:space="preserve"> </w:t>
      </w:r>
      <w:proofErr w:type="spellStart"/>
      <w:r>
        <w:rPr>
          <w:b/>
          <w:bCs/>
        </w:rPr>
        <w:t>Numpy</w:t>
      </w:r>
      <w:proofErr w:type="spellEnd"/>
    </w:p>
    <w:p w14:paraId="11A99BE3" w14:textId="77777777" w:rsidR="006D0416" w:rsidRPr="002A57FC" w:rsidRDefault="006D0416" w:rsidP="006D0416">
      <w:pPr>
        <w:pStyle w:val="Heading5"/>
      </w:pPr>
      <w:r w:rsidRPr="002A57FC">
        <w:t>Prepare</w:t>
      </w:r>
    </w:p>
    <w:p w14:paraId="32CE0DE9" w14:textId="74C2D9A7" w:rsidR="006D0416" w:rsidRDefault="006D0416" w:rsidP="006D041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w:t>
      </w:r>
      <w:r>
        <w:rPr>
          <w:rFonts w:eastAsiaTheme="minorHAnsi" w:cs="Arial"/>
          <w:bCs w:val="0"/>
          <w:color w:val="auto"/>
          <w:sz w:val="20"/>
        </w:rPr>
        <w:t>materials will be provided</w:t>
      </w:r>
    </w:p>
    <w:p w14:paraId="25F87132" w14:textId="77777777" w:rsidR="006D0416" w:rsidRPr="002A57FC" w:rsidRDefault="006D0416" w:rsidP="006D0416">
      <w:pPr>
        <w:pStyle w:val="Heading5"/>
      </w:pPr>
      <w:r w:rsidRPr="002A57FC">
        <w:t>Practice</w:t>
      </w:r>
    </w:p>
    <w:p w14:paraId="471B64EE" w14:textId="77777777" w:rsidR="006D0416" w:rsidRPr="002A57FC" w:rsidRDefault="006D0416" w:rsidP="006D0416">
      <w:pPr>
        <w:pStyle w:val="ListParagraph-Arial"/>
      </w:pPr>
      <w:r>
        <w:t>Assignment 7</w:t>
      </w:r>
    </w:p>
    <w:p w14:paraId="08C6834B" w14:textId="77777777" w:rsidR="00814E56" w:rsidRDefault="00814E56" w:rsidP="006D0416">
      <w:pPr>
        <w:pStyle w:val="ListParagraph-Arial"/>
        <w:numPr>
          <w:ilvl w:val="0"/>
          <w:numId w:val="0"/>
        </w:numPr>
      </w:pPr>
    </w:p>
    <w:p w14:paraId="55C57A07" w14:textId="77777777" w:rsidR="006535BC" w:rsidRPr="002A57FC" w:rsidRDefault="006535BC" w:rsidP="006535BC">
      <w:pPr>
        <w:pStyle w:val="ListParagraph-Arial"/>
        <w:numPr>
          <w:ilvl w:val="0"/>
          <w:numId w:val="0"/>
        </w:numPr>
      </w:pPr>
    </w:p>
    <w:p w14:paraId="524B4EFB" w14:textId="08ED50F8" w:rsidR="00C75417" w:rsidRDefault="00C75417" w:rsidP="00C75417">
      <w:pPr>
        <w:pStyle w:val="Normal-Arial"/>
        <w:spacing w:before="120"/>
      </w:pPr>
      <w:r>
        <w:t xml:space="preserve">The tentative schedule </w:t>
      </w:r>
      <w:r w:rsidR="00C82E17">
        <w:t xml:space="preserve">above </w:t>
      </w:r>
      <w:r>
        <w:t xml:space="preserve">may change at the discretion of the instructor. Also, remember that </w:t>
      </w:r>
      <w:r w:rsidR="00E91D34">
        <w:t xml:space="preserve">many important dates and deadlines are </w:t>
      </w:r>
      <w:r w:rsidRPr="00D5074F">
        <w:t xml:space="preserve">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2AA214F3"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67CD167F" w:rsidR="00377F41" w:rsidRPr="00377F41" w:rsidRDefault="005401F4" w:rsidP="00E7052A">
            <w:pPr>
              <w:spacing w:after="0"/>
              <w:rPr>
                <w:rFonts w:ascii="Arial" w:hAnsi="Arial"/>
              </w:rPr>
            </w:pPr>
            <w:r>
              <w:rPr>
                <w:rFonts w:ascii="Arial" w:hAnsi="Arial"/>
              </w:rPr>
              <w:t>Assignments</w:t>
            </w:r>
            <w:r w:rsidR="00C221E5">
              <w:rPr>
                <w:rFonts w:ascii="Arial" w:hAnsi="Arial"/>
              </w:rPr>
              <w:t xml:space="preserve"> (In class and Take home)</w:t>
            </w:r>
          </w:p>
        </w:tc>
        <w:tc>
          <w:tcPr>
            <w:tcW w:w="5140" w:type="dxa"/>
            <w:tcBorders>
              <w:top w:val="single" w:sz="4" w:space="0" w:color="000000"/>
              <w:left w:val="single" w:sz="4" w:space="0" w:color="000000"/>
              <w:bottom w:val="single" w:sz="4" w:space="0" w:color="000000"/>
              <w:right w:val="single" w:sz="4" w:space="0" w:color="000000"/>
            </w:tcBorders>
          </w:tcPr>
          <w:p w14:paraId="689EAEBA" w14:textId="5BE39108" w:rsidR="00377F41" w:rsidRDefault="00B205D6" w:rsidP="00E7052A">
            <w:pPr>
              <w:spacing w:after="0"/>
            </w:pPr>
            <w:r>
              <w:t>4</w:t>
            </w:r>
            <w:r w:rsidR="005401F4">
              <w:t>0%</w:t>
            </w:r>
          </w:p>
        </w:tc>
      </w:tr>
      <w:tr w:rsidR="004351B9" w14:paraId="700E4B98"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767EF08" w14:textId="7F2C05A7" w:rsidR="004351B9" w:rsidRDefault="004351B9" w:rsidP="00E7052A">
            <w:pPr>
              <w:spacing w:after="0"/>
              <w:rPr>
                <w:rFonts w:ascii="Arial" w:hAnsi="Arial"/>
              </w:rPr>
            </w:pPr>
            <w:r>
              <w:rPr>
                <w:rFonts w:ascii="Arial" w:hAnsi="Arial"/>
              </w:rPr>
              <w:t>Quizzes</w:t>
            </w:r>
          </w:p>
        </w:tc>
        <w:tc>
          <w:tcPr>
            <w:tcW w:w="5140" w:type="dxa"/>
            <w:tcBorders>
              <w:top w:val="single" w:sz="4" w:space="0" w:color="000000"/>
              <w:left w:val="single" w:sz="4" w:space="0" w:color="000000"/>
              <w:bottom w:val="single" w:sz="4" w:space="0" w:color="000000"/>
              <w:right w:val="single" w:sz="4" w:space="0" w:color="000000"/>
            </w:tcBorders>
          </w:tcPr>
          <w:p w14:paraId="0949D21D" w14:textId="443FB6AC" w:rsidR="004351B9" w:rsidRDefault="00FD59C9" w:rsidP="00E7052A">
            <w:pPr>
              <w:spacing w:after="0"/>
            </w:pPr>
            <w:r>
              <w:t>10</w:t>
            </w:r>
            <w:r w:rsidR="00B205D6">
              <w:t>%</w:t>
            </w:r>
          </w:p>
        </w:tc>
      </w:tr>
      <w:tr w:rsidR="00377F41" w14:paraId="775AA347"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768711C9" w:rsidR="00377F41" w:rsidRPr="00377F41" w:rsidRDefault="00377F41" w:rsidP="00E7052A">
            <w:pPr>
              <w:spacing w:after="0"/>
              <w:rPr>
                <w:rFonts w:ascii="Arial" w:hAnsi="Arial"/>
              </w:rPr>
            </w:pPr>
            <w:r w:rsidRPr="00377F41">
              <w:rPr>
                <w:rFonts w:ascii="Arial" w:hAnsi="Arial"/>
              </w:rPr>
              <w:t>Regular Exam</w:t>
            </w:r>
            <w:r w:rsidR="00B205D6">
              <w:rPr>
                <w:rFonts w:ascii="Arial" w:hAnsi="Arial"/>
              </w:rPr>
              <w:t>s (2)</w:t>
            </w:r>
          </w:p>
        </w:tc>
        <w:tc>
          <w:tcPr>
            <w:tcW w:w="5140" w:type="dxa"/>
            <w:tcBorders>
              <w:top w:val="single" w:sz="4" w:space="0" w:color="000000"/>
              <w:left w:val="single" w:sz="4" w:space="0" w:color="000000"/>
              <w:bottom w:val="single" w:sz="4" w:space="0" w:color="000000"/>
              <w:right w:val="single" w:sz="4" w:space="0" w:color="000000"/>
            </w:tcBorders>
          </w:tcPr>
          <w:p w14:paraId="4E60EC6B" w14:textId="4E9E2118" w:rsidR="00377F41" w:rsidRDefault="00CB13CF" w:rsidP="00E7052A">
            <w:pPr>
              <w:spacing w:after="0"/>
            </w:pPr>
            <w:r>
              <w:t>2</w:t>
            </w:r>
            <w:r w:rsidR="00681606">
              <w:t>0</w:t>
            </w:r>
            <w:r w:rsidR="00377F41">
              <w:t xml:space="preserve">%    </w:t>
            </w:r>
          </w:p>
        </w:tc>
      </w:tr>
      <w:tr w:rsidR="00377F41" w14:paraId="18248179"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67E26F5E" w:rsidR="00377F41" w:rsidRPr="00377F41" w:rsidRDefault="00CB13CF" w:rsidP="00E7052A">
            <w:pPr>
              <w:spacing w:after="0"/>
              <w:rPr>
                <w:rFonts w:ascii="Arial" w:hAnsi="Arial"/>
              </w:rPr>
            </w:pPr>
            <w:r>
              <w:rPr>
                <w:rFonts w:ascii="Arial" w:hAnsi="Arial"/>
              </w:rPr>
              <w:t>Project</w:t>
            </w:r>
            <w:r w:rsidR="00377F41" w:rsidRPr="00377F41">
              <w:rPr>
                <w:rFonts w:ascii="Arial" w:hAnsi="Arial"/>
              </w:rPr>
              <w:t xml:space="preserve"> </w:t>
            </w:r>
            <w:r w:rsidR="009912C0">
              <w:rPr>
                <w:rFonts w:ascii="Arial" w:hAnsi="Arial"/>
              </w:rPr>
              <w:t>(2)</w:t>
            </w:r>
            <w:r w:rsidR="00377F41"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31B8C32E" w14:textId="090DFF11" w:rsidR="00377F41" w:rsidRDefault="00681606" w:rsidP="00E7052A">
            <w:pPr>
              <w:spacing w:after="0"/>
            </w:pPr>
            <w:r>
              <w:t>20</w:t>
            </w:r>
            <w:r w:rsidR="00377F41">
              <w:t xml:space="preserve">%   </w:t>
            </w:r>
          </w:p>
        </w:tc>
      </w:tr>
      <w:tr w:rsidR="005401F4" w14:paraId="46831F5B"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bl>
    <w:p w14:paraId="5B255536" w14:textId="619A9868" w:rsidR="00377F41" w:rsidRDefault="0082164E" w:rsidP="00211254">
      <w:pPr>
        <w:pStyle w:val="Heading3-Arial"/>
      </w:pPr>
      <w:r w:rsidRPr="0082164E">
        <w:t xml:space="preserve">*For categories with multiple items, each will be weighted equally.   </w:t>
      </w: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lastRenderedPageBreak/>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282D2831" w14:textId="77777777" w:rsidR="004775E8" w:rsidRDefault="004775E8" w:rsidP="0015192D">
      <w:pPr>
        <w:pStyle w:val="Heading3-Arial"/>
        <w:rPr>
          <w:b/>
          <w:bCs/>
        </w:rPr>
      </w:pPr>
      <w:bookmarkStart w:id="10" w:name="_Toc104378955"/>
    </w:p>
    <w:p w14:paraId="28FA4E8E" w14:textId="77777777" w:rsidR="004775E8" w:rsidRDefault="004775E8" w:rsidP="0015192D">
      <w:pPr>
        <w:pStyle w:val="Heading3-Arial"/>
        <w:rPr>
          <w:b/>
          <w:bCs/>
        </w:rPr>
      </w:pPr>
    </w:p>
    <w:p w14:paraId="30AECBF8" w14:textId="77777777" w:rsidR="004775E8" w:rsidRDefault="004775E8" w:rsidP="0015192D">
      <w:pPr>
        <w:pStyle w:val="Heading3-Arial"/>
        <w:rPr>
          <w:b/>
          <w:bCs/>
        </w:rPr>
      </w:pPr>
    </w:p>
    <w:p w14:paraId="026A5898" w14:textId="25A471CF" w:rsidR="009C7493" w:rsidRPr="008B20B6" w:rsidRDefault="00DD59CB" w:rsidP="0015192D">
      <w:pPr>
        <w:pStyle w:val="Heading3-Arial"/>
        <w:rPr>
          <w:b/>
          <w:bCs/>
        </w:rPr>
      </w:pPr>
      <w:r w:rsidRPr="008B20B6">
        <w:rPr>
          <w:b/>
          <w:bCs/>
        </w:rPr>
        <w:t>Course Policies</w:t>
      </w:r>
      <w:bookmarkEnd w:id="10"/>
    </w:p>
    <w:p w14:paraId="704D104F" w14:textId="778DAB54" w:rsidR="00D51F7C" w:rsidRPr="00D51F7C" w:rsidRDefault="00D51F7C" w:rsidP="005D52C2">
      <w:pPr>
        <w:pStyle w:val="Heading4-Arial"/>
      </w:pPr>
      <w:r w:rsidRPr="00D51F7C">
        <w:t>Attendance</w:t>
      </w:r>
    </w:p>
    <w:p w14:paraId="7097DC5E" w14:textId="4D135381" w:rsidR="000A7747" w:rsidRDefault="000A7747" w:rsidP="005D52C2">
      <w:pPr>
        <w:pStyle w:val="Heading4-Arial"/>
        <w:rPr>
          <w:i w:val="0"/>
          <w:iCs w:val="0"/>
          <w:sz w:val="20"/>
          <w:szCs w:val="20"/>
        </w:rPr>
      </w:pPr>
      <w:r w:rsidRPr="000A7747">
        <w:rPr>
          <w:i w:val="0"/>
          <w:iCs w:val="0"/>
          <w:sz w:val="20"/>
          <w:szCs w:val="20"/>
        </w:rPr>
        <w:t xml:space="preserve">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w:t>
      </w:r>
      <w:proofErr w:type="gramStart"/>
      <w:r w:rsidRPr="000A7747">
        <w:rPr>
          <w:i w:val="0"/>
          <w:iCs w:val="0"/>
          <w:sz w:val="20"/>
          <w:szCs w:val="20"/>
        </w:rPr>
        <w:t>-  it</w:t>
      </w:r>
      <w:proofErr w:type="gramEnd"/>
      <w:r w:rsidRPr="000A7747">
        <w:rPr>
          <w:i w:val="0"/>
          <w:iCs w:val="0"/>
          <w:sz w:val="20"/>
          <w:szCs w:val="20"/>
        </w:rPr>
        <w:t xml:space="preserve"> happens. However, if you are consistently late to class or labs, I will not allow you to make up any graded work that was administered that day and I may prevent you from attending a session altogether. In short – be here, on time</w:t>
      </w:r>
      <w:r w:rsidR="0060185C">
        <w:rPr>
          <w:i w:val="0"/>
          <w:iCs w:val="0"/>
          <w:sz w:val="20"/>
          <w:szCs w:val="20"/>
        </w:rPr>
        <w:t>,</w:t>
      </w:r>
      <w:r w:rsidRPr="000A7747">
        <w:rPr>
          <w:i w:val="0"/>
          <w:iCs w:val="0"/>
          <w:sz w:val="20"/>
          <w:szCs w:val="20"/>
        </w:rPr>
        <w:t xml:space="preserve"> and ready to go.  </w:t>
      </w:r>
      <w:r w:rsidRPr="000A7747">
        <w:rPr>
          <w:b/>
          <w:bCs/>
          <w:i w:val="0"/>
          <w:iCs w:val="0"/>
          <w:sz w:val="20"/>
          <w:szCs w:val="20"/>
        </w:rPr>
        <w:t>Email me in advance to let me know you must miss class or as soon as possible after class to let me know why you missed</w:t>
      </w:r>
      <w:r w:rsidR="0060185C">
        <w:rPr>
          <w:b/>
          <w:bCs/>
          <w:i w:val="0"/>
          <w:iCs w:val="0"/>
          <w:sz w:val="20"/>
          <w:szCs w:val="20"/>
        </w:rPr>
        <w:t xml:space="preserve"> it</w:t>
      </w:r>
      <w:r w:rsidRPr="000A7747">
        <w:rPr>
          <w:i w:val="0"/>
          <w:iCs w:val="0"/>
          <w:sz w:val="20"/>
          <w:szCs w:val="20"/>
        </w:rPr>
        <w:t xml:space="preserve">. </w:t>
      </w:r>
    </w:p>
    <w:p w14:paraId="34E8EE27" w14:textId="6BB096D8" w:rsidR="00D51F7C" w:rsidRPr="00D51F7C" w:rsidRDefault="00D51F7C" w:rsidP="005D52C2">
      <w:pPr>
        <w:pStyle w:val="Heading4-Arial"/>
      </w:pPr>
      <w:r w:rsidRPr="00D51F7C">
        <w:t xml:space="preserve">Classroom Expectations </w:t>
      </w:r>
    </w:p>
    <w:p w14:paraId="728D9EEC" w14:textId="70A632BA" w:rsidR="007463F1" w:rsidRDefault="0060185C" w:rsidP="007463F1">
      <w:pPr>
        <w:pStyle w:val="Heading4-Arial"/>
        <w:rPr>
          <w:i w:val="0"/>
          <w:iCs w:val="0"/>
          <w:sz w:val="20"/>
          <w:szCs w:val="20"/>
        </w:rPr>
      </w:pPr>
      <w:r>
        <w:rPr>
          <w:i w:val="0"/>
          <w:iCs w:val="0"/>
          <w:sz w:val="20"/>
          <w:szCs w:val="20"/>
        </w:rPr>
        <w:t>In-person</w:t>
      </w:r>
      <w:r w:rsidR="007463F1" w:rsidRPr="00A06F22">
        <w:rPr>
          <w:i w:val="0"/>
          <w:iCs w:val="0"/>
          <w:sz w:val="20"/>
          <w:szCs w:val="20"/>
        </w:rPr>
        <w:t xml:space="preserve"> class sessions have been conducted for this academic year. Mask is </w:t>
      </w:r>
      <w:r w:rsidR="007463F1">
        <w:rPr>
          <w:i w:val="0"/>
          <w:iCs w:val="0"/>
          <w:sz w:val="20"/>
          <w:szCs w:val="20"/>
        </w:rPr>
        <w:t>recommended</w:t>
      </w:r>
      <w:r w:rsidR="007463F1" w:rsidRPr="00A06F22">
        <w:rPr>
          <w:i w:val="0"/>
          <w:iCs w:val="0"/>
          <w:sz w:val="20"/>
          <w:szCs w:val="20"/>
        </w:rPr>
        <w:t xml:space="preserve"> during class </w:t>
      </w:r>
      <w:r>
        <w:rPr>
          <w:i w:val="0"/>
          <w:iCs w:val="0"/>
          <w:sz w:val="20"/>
          <w:szCs w:val="20"/>
        </w:rPr>
        <w:t>sessions</w:t>
      </w:r>
      <w:r w:rsidR="007463F1" w:rsidRPr="00A06F22">
        <w:rPr>
          <w:i w:val="0"/>
          <w:iCs w:val="0"/>
          <w:sz w:val="20"/>
          <w:szCs w:val="20"/>
        </w:rPr>
        <w:t xml:space="preserve"> regardless of vaccination status. Mask should cover your nose and mouth; bandanas are not allowed. No food </w:t>
      </w:r>
      <w:r>
        <w:rPr>
          <w:i w:val="0"/>
          <w:iCs w:val="0"/>
          <w:sz w:val="20"/>
          <w:szCs w:val="20"/>
        </w:rPr>
        <w:t xml:space="preserve">is </w:t>
      </w:r>
      <w:r w:rsidR="007463F1" w:rsidRPr="00A06F22">
        <w:rPr>
          <w:i w:val="0"/>
          <w:iCs w:val="0"/>
          <w:sz w:val="20"/>
          <w:szCs w:val="20"/>
        </w:rPr>
        <w:t xml:space="preserve">allowed in the classroom. </w:t>
      </w:r>
    </w:p>
    <w:p w14:paraId="05176290" w14:textId="3FFABAE6" w:rsidR="00D51F7C" w:rsidRPr="00D51F7C" w:rsidRDefault="00D51F7C" w:rsidP="005D52C2">
      <w:pPr>
        <w:pStyle w:val="Heading4-Arial"/>
      </w:pPr>
      <w:r w:rsidRPr="00D51F7C">
        <w:t xml:space="preserve">Communication </w:t>
      </w:r>
    </w:p>
    <w:p w14:paraId="23143FAE" w14:textId="24AA4743"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w:t>
      </w:r>
      <w:r w:rsidR="0060185C">
        <w:rPr>
          <w:i w:val="0"/>
          <w:iCs w:val="0"/>
          <w:sz w:val="20"/>
          <w:szCs w:val="20"/>
        </w:rPr>
        <w:t xml:space="preserve">my </w:t>
      </w:r>
      <w:r w:rsidRPr="002F449E">
        <w:rPr>
          <w:i w:val="0"/>
          <w:iCs w:val="0"/>
          <w:sz w:val="20"/>
          <w:szCs w:val="20"/>
        </w:rPr>
        <w:t xml:space="preserve">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5C580E4A" w:rsidR="002F449E" w:rsidRPr="002F449E" w:rsidRDefault="002F449E" w:rsidP="002F449E">
      <w:pPr>
        <w:pStyle w:val="Heading4-Arial"/>
        <w:rPr>
          <w:i w:val="0"/>
          <w:iCs w:val="0"/>
          <w:sz w:val="20"/>
          <w:szCs w:val="20"/>
        </w:rPr>
      </w:pPr>
      <w:r w:rsidRPr="002F449E">
        <w:rPr>
          <w:i w:val="0"/>
          <w:iCs w:val="0"/>
          <w:sz w:val="20"/>
          <w:szCs w:val="20"/>
        </w:rPr>
        <w:t>[CS-XXX-YY] – (whatever you want to put in the rest of the subject).   XXX should be the course number and YY should be the section number, for example: [CS-1</w:t>
      </w:r>
      <w:r w:rsidR="007463F1">
        <w:rPr>
          <w:i w:val="0"/>
          <w:iCs w:val="0"/>
          <w:sz w:val="20"/>
          <w:szCs w:val="20"/>
        </w:rPr>
        <w:t>5</w:t>
      </w:r>
      <w:r w:rsidRPr="002F449E">
        <w:rPr>
          <w:i w:val="0"/>
          <w:iCs w:val="0"/>
          <w:sz w:val="20"/>
          <w:szCs w:val="20"/>
        </w:rPr>
        <w:t xml:space="preserve">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lastRenderedPageBreak/>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4E28EE1C" w:rsidR="00D51F7C" w:rsidRPr="00914ADE" w:rsidRDefault="00D51F7C" w:rsidP="009D70B2">
      <w:pPr>
        <w:pStyle w:val="ListParagraph-Arial"/>
      </w:pPr>
      <w:r w:rsidRPr="00914ADE">
        <w:t>An audio</w:t>
      </w:r>
      <w:r w:rsidR="00E411DE" w:rsidRPr="00914ADE">
        <w:t>-</w:t>
      </w:r>
      <w:r w:rsidRPr="00914ADE">
        <w:t xml:space="preserve">visual recording device, such as a webcam or smartphone with </w:t>
      </w:r>
      <w:r w:rsidR="0060185C">
        <w:t xml:space="preserve">a </w:t>
      </w:r>
      <w:r w:rsidRPr="00914ADE">
        <w:t>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1343950C"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Edge</w:t>
      </w:r>
      <w:r w:rsidR="0060185C">
        <w:t>,</w:t>
      </w:r>
      <w:r w:rsidR="00914ADE" w:rsidRPr="00914ADE">
        <w:t xml:space="preserv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55C39507" w:rsidR="00D51F7C" w:rsidRPr="00D51F7C" w:rsidRDefault="00D51F7C" w:rsidP="009D70B2">
      <w:pPr>
        <w:pStyle w:val="Normal-Arial"/>
      </w:pPr>
      <w:r w:rsidRPr="00D51F7C">
        <w:t xml:space="preserve">While students are expected to attend scheduled classes, Bellarmine University faculty will make every effort to accommodate students who are absent from class due to university-sponsored activity. This policy protects students from being penalized for </w:t>
      </w:r>
      <w:r w:rsidR="0060185C">
        <w:t>a missed</w:t>
      </w:r>
      <w:r w:rsidRPr="00D51F7C">
        <w:t xml:space="preserve"> class time due to university-sponsored activity. </w:t>
      </w:r>
      <w:r w:rsidR="0060185C" w:rsidRPr="00D51F7C">
        <w:t>The faculty</w:t>
      </w:r>
      <w:r w:rsidRPr="00D51F7C">
        <w:t xml:space="preserve"> will provide reasonable opportunities to </w:t>
      </w:r>
      <w:r w:rsidR="0060185C">
        <w:t>make up</w:t>
      </w:r>
      <w:r w:rsidRPr="00D51F7C">
        <w:t xml:space="preserve"> missed work that would normally occur in </w:t>
      </w:r>
      <w:r w:rsidRPr="00D51F7C">
        <w:lastRenderedPageBreak/>
        <w:t>class (</w:t>
      </w:r>
      <w:r w:rsidR="00EA69A2" w:rsidRPr="00D51F7C">
        <w:t>e.g.,</w:t>
      </w:r>
      <w:r w:rsidRPr="00D51F7C">
        <w:t xml:space="preserve"> quizzes, tests, presentations, performances) and may include a selection of comparable coursework as agreed upon by the faculty and student. This </w:t>
      </w:r>
      <w:r w:rsidR="0060185C">
        <w:t>makeup</w:t>
      </w:r>
      <w:r w:rsidRPr="00D51F7C">
        <w:t xml:space="preserve"> process will apply even if the instructor has </w:t>
      </w:r>
      <w:r w:rsidR="0060185C">
        <w:t>the</w:t>
      </w:r>
      <w:r w:rsidRPr="00D51F7C">
        <w:t xml:space="preserve"> policy to drop a low test/quiz/presentation score. If a student has a test or </w:t>
      </w:r>
      <w:r w:rsidR="001E4C01" w:rsidRPr="00D51F7C">
        <w:t>quiz,</w:t>
      </w:r>
      <w:r w:rsidRPr="00D51F7C">
        <w:t xml:space="preserve"> they miss, the points for the make-up work cannot be incorporated into the final exam. This is intended to have exams </w:t>
      </w:r>
      <w:r w:rsidR="001E4C01" w:rsidRPr="00D51F7C">
        <w:t>drawn</w:t>
      </w:r>
      <w:r w:rsidRPr="00D51F7C">
        <w:t xml:space="preserv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73E7602E"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w:t>
      </w:r>
      <w:r w:rsidR="001E4C01" w:rsidRPr="00E72A21">
        <w:t>up for</w:t>
      </w:r>
      <w:r w:rsidRPr="00E72A21">
        <w:t xml:space="preserve"> missed </w:t>
      </w:r>
      <w:r w:rsidR="00D1308E" w:rsidRPr="00E72A21">
        <w:t>work.</w:t>
      </w:r>
    </w:p>
    <w:p w14:paraId="336FCB96" w14:textId="222500E3" w:rsidR="00E72A21" w:rsidRPr="00E72A21" w:rsidRDefault="00D51F7C" w:rsidP="009D70B2">
      <w:pPr>
        <w:pStyle w:val="ListParagraph-Arial"/>
      </w:pPr>
      <w:r w:rsidRPr="00E72A21">
        <w:t xml:space="preserve">one week prior to each absence, notify the instructor of the class day they will miss. Exception: a person who joins a team or club after the first two weeks would provide the initial notification upon joining the group. </w:t>
      </w:r>
    </w:p>
    <w:p w14:paraId="2B5550C1" w14:textId="7331F597"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w:t>
      </w:r>
      <w:r w:rsidR="00247B4D">
        <w:t xml:space="preserve">the </w:t>
      </w:r>
      <w:r w:rsidRPr="00D51F7C">
        <w:t xml:space="preserve">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lastRenderedPageBreak/>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0E61B089"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allows students to report incidents and/or student well-being concerns. Anonymous reporting is available, however</w:t>
      </w:r>
      <w:r w:rsidR="001E4C01">
        <w:t>,</w:t>
      </w:r>
      <w:r>
        <w:t xml:space="preserve">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 xml:space="preserve">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w:t>
      </w:r>
      <w:proofErr w:type="gramStart"/>
      <w:r w:rsidRPr="154F5AAA">
        <w:rPr>
          <w:rFonts w:ascii="Arial" w:eastAsia="Arial" w:hAnsi="Arial"/>
        </w:rPr>
        <w:t>University</w:t>
      </w:r>
      <w:proofErr w:type="gramEnd"/>
      <w:r w:rsidRPr="154F5AAA">
        <w:rPr>
          <w:rFonts w:ascii="Arial" w:eastAsia="Arial" w:hAnsi="Arial"/>
        </w:rPr>
        <w:t xml:space="preserve">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3F14B439" w:rsidR="154F5AAA" w:rsidRDefault="154F5AAA">
      <w:r w:rsidRPr="154F5AAA">
        <w:rPr>
          <w:rFonts w:ascii="Arial" w:eastAsiaTheme="minorEastAsia" w:hAnsi="Arial"/>
        </w:rPr>
        <w:t xml:space="preserve">To encourage a more inclusive and welcoming campus, Bellarmine has established </w:t>
      </w:r>
      <w:r w:rsidR="001E4C01">
        <w:rPr>
          <w:rFonts w:ascii="Arial" w:eastAsiaTheme="minorEastAsia" w:hAnsi="Arial"/>
        </w:rPr>
        <w:t>a</w:t>
      </w:r>
      <w:r w:rsidRPr="154F5AAA">
        <w:rPr>
          <w:rFonts w:ascii="Arial" w:eastAsiaTheme="minorEastAsia" w:hAnsi="Arial"/>
        </w:rPr>
        <w:t xml:space="preserv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one.</w:t>
      </w:r>
      <w:r w:rsidR="001E4C01">
        <w:rPr>
          <w:rFonts w:ascii="Arial" w:eastAsiaTheme="minorEastAsia" w:hAnsi="Arial"/>
        </w:rPr>
        <w:t xml:space="preserve"> </w:t>
      </w:r>
      <w:r w:rsidRPr="154F5AAA">
        <w:rPr>
          <w:rFonts w:ascii="Arial" w:eastAsiaTheme="minorEastAsia" w:hAnsi="Arial"/>
        </w:rPr>
        <w:t xml:space="preserve">bellarmine. After clicking on self-service, click the </w:t>
      </w:r>
      <w:r w:rsidR="001E4C01" w:rsidRPr="001E4C01">
        <w:rPr>
          <w:rFonts w:ascii="Arial" w:eastAsiaTheme="minorEastAsia" w:hAnsi="Arial"/>
        </w:rPr>
        <w:t>username displayed in the page's upper right-hand corner</w:t>
      </w:r>
      <w:r w:rsidRPr="154F5AAA">
        <w:rPr>
          <w:rFonts w:ascii="Arial" w:eastAsiaTheme="minorEastAsia" w:hAnsi="Arial"/>
        </w:rPr>
        <w:t xml:space="preserve">. A drop-down menu will appear, click on user profile, and under personal identity details click the pencil to edit. Be sure to click save after entering </w:t>
      </w:r>
      <w:r w:rsidR="001E4C01">
        <w:rPr>
          <w:rFonts w:ascii="Arial" w:eastAsiaTheme="minorEastAsia" w:hAnsi="Arial"/>
        </w:rPr>
        <w:t xml:space="preserve">the </w:t>
      </w:r>
      <w:r w:rsidRPr="154F5AAA">
        <w:rPr>
          <w:rFonts w:ascii="Arial" w:eastAsiaTheme="minorEastAsia" w:hAnsi="Arial"/>
        </w:rPr>
        <w:t xml:space="preserve">information. Use of the legal name will continue to be required for certain documents, including but not limited to, payroll records, billing records, financial aid documents, transcripts, medical </w:t>
      </w:r>
      <w:proofErr w:type="gramStart"/>
      <w:r w:rsidRPr="154F5AAA">
        <w:rPr>
          <w:rFonts w:ascii="Arial" w:eastAsiaTheme="minorEastAsia" w:hAnsi="Arial"/>
        </w:rPr>
        <w:t>records</w:t>
      </w:r>
      <w:proofErr w:type="gramEnd"/>
      <w:r w:rsidRPr="154F5AAA">
        <w:rPr>
          <w:rFonts w:ascii="Arial" w:eastAsiaTheme="minorEastAsia" w:hAnsi="Arial"/>
        </w:rPr>
        <w:t xml:space="preserve"> and federal </w:t>
      </w:r>
      <w:r w:rsidR="001E4C01">
        <w:rPr>
          <w:rFonts w:ascii="Arial" w:eastAsiaTheme="minorEastAsia" w:hAnsi="Arial"/>
        </w:rPr>
        <w:t>immigration</w:t>
      </w:r>
      <w:r w:rsidRPr="154F5AAA">
        <w:rPr>
          <w:rFonts w:ascii="Arial" w:eastAsiaTheme="minorEastAsia" w:hAnsi="Arial"/>
        </w:rPr>
        <w:t xml:space="preserve">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w:t>
      </w:r>
      <w:r w:rsidR="001E4C01">
        <w:rPr>
          <w:rFonts w:ascii="Arial" w:eastAsiaTheme="minorEastAsia" w:hAnsi="Arial"/>
        </w:rPr>
        <w:t xml:space="preserve">their </w:t>
      </w:r>
      <w:r w:rsidRPr="154F5AAA">
        <w:rPr>
          <w:rFonts w:ascii="Arial" w:eastAsiaTheme="minorEastAsia" w:hAnsi="Arial"/>
        </w:rPr>
        <w:t>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lastRenderedPageBreak/>
        <w:t>Pronouns and Gender Identity</w:t>
      </w:r>
    </w:p>
    <w:p w14:paraId="04CB8ED6" w14:textId="6E07C2F5" w:rsidR="154F5AAA" w:rsidRDefault="154F5AAA" w:rsidP="154F5AAA">
      <w:pPr>
        <w:rPr>
          <w:rFonts w:ascii="Arial" w:eastAsiaTheme="minorEastAsia" w:hAnsi="Arial"/>
        </w:rPr>
      </w:pPr>
      <w:r w:rsidRPr="154F5AAA">
        <w:rPr>
          <w:rFonts w:ascii="Arial" w:eastAsiaTheme="minorEastAsia" w:hAnsi="Arial"/>
        </w:rPr>
        <w:t>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one.</w:t>
      </w:r>
      <w:r w:rsidR="001E4C01">
        <w:rPr>
          <w:rFonts w:ascii="Arial" w:eastAsiaTheme="minorEastAsia" w:hAnsi="Arial"/>
        </w:rPr>
        <w:t xml:space="preserve"> </w:t>
      </w:r>
      <w:r w:rsidRPr="154F5AAA">
        <w:rPr>
          <w:rFonts w:ascii="Arial" w:eastAsiaTheme="minorEastAsia" w:hAnsi="Arial"/>
        </w:rPr>
        <w:t xml:space="preserve">bellarmine. After clicking on self-service, click the </w:t>
      </w:r>
      <w:r w:rsidR="001E4C01" w:rsidRPr="001E4C01">
        <w:rPr>
          <w:rFonts w:ascii="Arial" w:eastAsiaTheme="minorEastAsia" w:hAnsi="Arial"/>
        </w:rPr>
        <w:t>username displayed in the page's upper right-hand corner</w:t>
      </w:r>
      <w:r w:rsidRPr="154F5AAA">
        <w:rPr>
          <w:rFonts w:ascii="Arial" w:eastAsiaTheme="minorEastAsia" w:hAnsi="Arial"/>
        </w:rPr>
        <w:t xml:space="preserve">. A drop-down menu will appear, click on </w:t>
      </w:r>
      <w:r w:rsidR="001E4C01">
        <w:rPr>
          <w:rFonts w:ascii="Arial" w:eastAsiaTheme="minorEastAsia" w:hAnsi="Arial"/>
        </w:rPr>
        <w:t xml:space="preserve">the </w:t>
      </w:r>
      <w:r w:rsidRPr="154F5AAA">
        <w:rPr>
          <w:rFonts w:ascii="Arial" w:eastAsiaTheme="minorEastAsia" w:hAnsi="Arial"/>
        </w:rPr>
        <w:t xml:space="preserve">user profile, and under personal identity details click the pencil to edit. Be sure to click save after entering </w:t>
      </w:r>
      <w:r w:rsidR="001E4C01">
        <w:rPr>
          <w:rFonts w:ascii="Arial" w:eastAsiaTheme="minorEastAsia" w:hAnsi="Arial"/>
        </w:rPr>
        <w:t xml:space="preserve">the </w:t>
      </w:r>
      <w:r w:rsidRPr="154F5AAA">
        <w:rPr>
          <w:rFonts w:ascii="Arial" w:eastAsiaTheme="minorEastAsia" w:hAnsi="Arial"/>
        </w:rPr>
        <w:t xml:space="preserve">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48273FEC"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r w:rsidR="00247B4D" w:rsidRPr="00D51F7C">
        <w:t>curricula,</w:t>
      </w:r>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24CC26F0"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w:t>
      </w:r>
      <w:r w:rsidR="00247B4D">
        <w:t>,</w:t>
      </w:r>
      <w:r w:rsidRPr="00D51F7C">
        <w:t xml:space="preserv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43C4" w14:textId="77777777" w:rsidR="00264D56" w:rsidRDefault="00264D56" w:rsidP="00EF2515">
      <w:r>
        <w:separator/>
      </w:r>
    </w:p>
  </w:endnote>
  <w:endnote w:type="continuationSeparator" w:id="0">
    <w:p w14:paraId="73C9686D" w14:textId="77777777" w:rsidR="00264D56" w:rsidRDefault="00264D56" w:rsidP="00EF2515">
      <w:r>
        <w:continuationSeparator/>
      </w:r>
    </w:p>
  </w:endnote>
  <w:endnote w:type="continuationNotice" w:id="1">
    <w:p w14:paraId="7F3FD71D" w14:textId="77777777" w:rsidR="00264D56" w:rsidRDefault="00264D5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3D9A" w14:textId="77777777" w:rsidR="00264D56" w:rsidRDefault="00264D56" w:rsidP="00EF2515">
      <w:r>
        <w:separator/>
      </w:r>
    </w:p>
  </w:footnote>
  <w:footnote w:type="continuationSeparator" w:id="0">
    <w:p w14:paraId="5789A722" w14:textId="77777777" w:rsidR="00264D56" w:rsidRDefault="00264D56" w:rsidP="00EF2515">
      <w:r>
        <w:continuationSeparator/>
      </w:r>
    </w:p>
  </w:footnote>
  <w:footnote w:type="continuationNotice" w:id="1">
    <w:p w14:paraId="10907F35" w14:textId="77777777" w:rsidR="00264D56" w:rsidRDefault="00264D5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TQxNTM0NjU2MDRU0lEKTi0uzszPAykwqQUAy1Gd2ywAAAA="/>
  </w:docVars>
  <w:rsids>
    <w:rsidRoot w:val="00D51F7C"/>
    <w:rsid w:val="000029AF"/>
    <w:rsid w:val="0000399D"/>
    <w:rsid w:val="00003ECB"/>
    <w:rsid w:val="00007B1B"/>
    <w:rsid w:val="00010EAA"/>
    <w:rsid w:val="0001380B"/>
    <w:rsid w:val="0001514B"/>
    <w:rsid w:val="00021C92"/>
    <w:rsid w:val="00022E60"/>
    <w:rsid w:val="00025BA1"/>
    <w:rsid w:val="00025C5E"/>
    <w:rsid w:val="000272A9"/>
    <w:rsid w:val="00027A8A"/>
    <w:rsid w:val="00030C96"/>
    <w:rsid w:val="000340CB"/>
    <w:rsid w:val="000344B8"/>
    <w:rsid w:val="00040377"/>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1C1E"/>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48CB"/>
    <w:rsid w:val="000F7DB4"/>
    <w:rsid w:val="00103E7E"/>
    <w:rsid w:val="00105D07"/>
    <w:rsid w:val="0011079C"/>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6849"/>
    <w:rsid w:val="001D7607"/>
    <w:rsid w:val="001D79DA"/>
    <w:rsid w:val="001E0F9F"/>
    <w:rsid w:val="001E1AC1"/>
    <w:rsid w:val="001E1B22"/>
    <w:rsid w:val="001E1D8D"/>
    <w:rsid w:val="001E43A6"/>
    <w:rsid w:val="001E4A40"/>
    <w:rsid w:val="001E4C01"/>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47B4D"/>
    <w:rsid w:val="00254562"/>
    <w:rsid w:val="00263585"/>
    <w:rsid w:val="00264D56"/>
    <w:rsid w:val="00265DEE"/>
    <w:rsid w:val="002669A9"/>
    <w:rsid w:val="00267FE1"/>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B41B5"/>
    <w:rsid w:val="002C2938"/>
    <w:rsid w:val="002C386E"/>
    <w:rsid w:val="002C7606"/>
    <w:rsid w:val="002D2554"/>
    <w:rsid w:val="002D41B3"/>
    <w:rsid w:val="002E04B1"/>
    <w:rsid w:val="002E2EBB"/>
    <w:rsid w:val="002E7CCA"/>
    <w:rsid w:val="002F31D1"/>
    <w:rsid w:val="002F3E37"/>
    <w:rsid w:val="002F449E"/>
    <w:rsid w:val="002F4553"/>
    <w:rsid w:val="002F56C7"/>
    <w:rsid w:val="002F585F"/>
    <w:rsid w:val="002F5DCA"/>
    <w:rsid w:val="002F7D5D"/>
    <w:rsid w:val="00300C8E"/>
    <w:rsid w:val="00310CBA"/>
    <w:rsid w:val="003132AD"/>
    <w:rsid w:val="00314BB1"/>
    <w:rsid w:val="00314E06"/>
    <w:rsid w:val="00320CD9"/>
    <w:rsid w:val="00322DCE"/>
    <w:rsid w:val="00326A33"/>
    <w:rsid w:val="0032748B"/>
    <w:rsid w:val="0032789D"/>
    <w:rsid w:val="00335211"/>
    <w:rsid w:val="003357A9"/>
    <w:rsid w:val="003440C1"/>
    <w:rsid w:val="00346A5F"/>
    <w:rsid w:val="00346E46"/>
    <w:rsid w:val="00347673"/>
    <w:rsid w:val="00350060"/>
    <w:rsid w:val="00351AF5"/>
    <w:rsid w:val="003536B8"/>
    <w:rsid w:val="00370081"/>
    <w:rsid w:val="00373447"/>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3F180D"/>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1B9"/>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775E8"/>
    <w:rsid w:val="004801A0"/>
    <w:rsid w:val="00480DEF"/>
    <w:rsid w:val="00480EA5"/>
    <w:rsid w:val="00484D96"/>
    <w:rsid w:val="00490A2B"/>
    <w:rsid w:val="00490C1E"/>
    <w:rsid w:val="0049273E"/>
    <w:rsid w:val="004936D3"/>
    <w:rsid w:val="00495C11"/>
    <w:rsid w:val="00497474"/>
    <w:rsid w:val="004A4306"/>
    <w:rsid w:val="004A535D"/>
    <w:rsid w:val="004B0EFD"/>
    <w:rsid w:val="004B37DF"/>
    <w:rsid w:val="004C0004"/>
    <w:rsid w:val="004C330C"/>
    <w:rsid w:val="004C3A42"/>
    <w:rsid w:val="004C42A8"/>
    <w:rsid w:val="004C44E3"/>
    <w:rsid w:val="004C4BE2"/>
    <w:rsid w:val="004C766B"/>
    <w:rsid w:val="004D0DA4"/>
    <w:rsid w:val="004D214C"/>
    <w:rsid w:val="004D41A2"/>
    <w:rsid w:val="004D777F"/>
    <w:rsid w:val="004D7EF5"/>
    <w:rsid w:val="004E0A00"/>
    <w:rsid w:val="004E2C74"/>
    <w:rsid w:val="004E353D"/>
    <w:rsid w:val="004E4454"/>
    <w:rsid w:val="004E503B"/>
    <w:rsid w:val="004E706F"/>
    <w:rsid w:val="004F04C8"/>
    <w:rsid w:val="004F1A1D"/>
    <w:rsid w:val="004F45A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276C"/>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185C"/>
    <w:rsid w:val="0060302A"/>
    <w:rsid w:val="00607646"/>
    <w:rsid w:val="00607831"/>
    <w:rsid w:val="0061313C"/>
    <w:rsid w:val="006135DF"/>
    <w:rsid w:val="00614943"/>
    <w:rsid w:val="00615319"/>
    <w:rsid w:val="006170ED"/>
    <w:rsid w:val="0062188F"/>
    <w:rsid w:val="006221B1"/>
    <w:rsid w:val="006241D6"/>
    <w:rsid w:val="006250CC"/>
    <w:rsid w:val="006274C1"/>
    <w:rsid w:val="0063258F"/>
    <w:rsid w:val="00640AAF"/>
    <w:rsid w:val="00641CCC"/>
    <w:rsid w:val="00641E38"/>
    <w:rsid w:val="00644F44"/>
    <w:rsid w:val="00645405"/>
    <w:rsid w:val="00645C3E"/>
    <w:rsid w:val="006460C3"/>
    <w:rsid w:val="00646EDA"/>
    <w:rsid w:val="00650EEF"/>
    <w:rsid w:val="00650F08"/>
    <w:rsid w:val="006513E0"/>
    <w:rsid w:val="00653142"/>
    <w:rsid w:val="006535BC"/>
    <w:rsid w:val="00654379"/>
    <w:rsid w:val="00654C91"/>
    <w:rsid w:val="0065644F"/>
    <w:rsid w:val="00661605"/>
    <w:rsid w:val="00661D04"/>
    <w:rsid w:val="00661DE2"/>
    <w:rsid w:val="006620BE"/>
    <w:rsid w:val="00662867"/>
    <w:rsid w:val="00663055"/>
    <w:rsid w:val="00664120"/>
    <w:rsid w:val="0067215A"/>
    <w:rsid w:val="00676A04"/>
    <w:rsid w:val="00681606"/>
    <w:rsid w:val="006867DA"/>
    <w:rsid w:val="00687B86"/>
    <w:rsid w:val="006910F5"/>
    <w:rsid w:val="006912A6"/>
    <w:rsid w:val="006912B3"/>
    <w:rsid w:val="00695D26"/>
    <w:rsid w:val="00696058"/>
    <w:rsid w:val="0069612C"/>
    <w:rsid w:val="006967F9"/>
    <w:rsid w:val="006979B7"/>
    <w:rsid w:val="00697A45"/>
    <w:rsid w:val="00697A93"/>
    <w:rsid w:val="006A1253"/>
    <w:rsid w:val="006A2CD3"/>
    <w:rsid w:val="006A545B"/>
    <w:rsid w:val="006B0BBB"/>
    <w:rsid w:val="006B3EAA"/>
    <w:rsid w:val="006B3ECD"/>
    <w:rsid w:val="006B4EF3"/>
    <w:rsid w:val="006B6AF4"/>
    <w:rsid w:val="006C05D5"/>
    <w:rsid w:val="006C05DF"/>
    <w:rsid w:val="006C1C0F"/>
    <w:rsid w:val="006C2DAD"/>
    <w:rsid w:val="006C6A6F"/>
    <w:rsid w:val="006D0416"/>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1C7"/>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63F1"/>
    <w:rsid w:val="00747CAC"/>
    <w:rsid w:val="0075100B"/>
    <w:rsid w:val="00752BE7"/>
    <w:rsid w:val="00753EC3"/>
    <w:rsid w:val="00754540"/>
    <w:rsid w:val="00762974"/>
    <w:rsid w:val="0076404D"/>
    <w:rsid w:val="00764874"/>
    <w:rsid w:val="00764AF5"/>
    <w:rsid w:val="00766907"/>
    <w:rsid w:val="0077094F"/>
    <w:rsid w:val="00773E7F"/>
    <w:rsid w:val="00775B02"/>
    <w:rsid w:val="00776A7B"/>
    <w:rsid w:val="00780590"/>
    <w:rsid w:val="00784BEE"/>
    <w:rsid w:val="00784F85"/>
    <w:rsid w:val="00785BD3"/>
    <w:rsid w:val="0078745F"/>
    <w:rsid w:val="00790A9D"/>
    <w:rsid w:val="00794BD5"/>
    <w:rsid w:val="0079517F"/>
    <w:rsid w:val="00797751"/>
    <w:rsid w:val="007A4036"/>
    <w:rsid w:val="007A5A66"/>
    <w:rsid w:val="007A5A9F"/>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2707"/>
    <w:rsid w:val="00805250"/>
    <w:rsid w:val="008058FE"/>
    <w:rsid w:val="00807DE6"/>
    <w:rsid w:val="008136D2"/>
    <w:rsid w:val="00814E56"/>
    <w:rsid w:val="0082164E"/>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6489"/>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045B"/>
    <w:rsid w:val="008E4D5B"/>
    <w:rsid w:val="008E7FB8"/>
    <w:rsid w:val="008F0A92"/>
    <w:rsid w:val="008F15FE"/>
    <w:rsid w:val="008F1847"/>
    <w:rsid w:val="008F6B50"/>
    <w:rsid w:val="008F78F5"/>
    <w:rsid w:val="00900C96"/>
    <w:rsid w:val="00900EDF"/>
    <w:rsid w:val="00901871"/>
    <w:rsid w:val="009023A1"/>
    <w:rsid w:val="009034EF"/>
    <w:rsid w:val="0090473C"/>
    <w:rsid w:val="00906B8B"/>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67112"/>
    <w:rsid w:val="009733A9"/>
    <w:rsid w:val="00976F96"/>
    <w:rsid w:val="00981C4E"/>
    <w:rsid w:val="00983840"/>
    <w:rsid w:val="00985F6C"/>
    <w:rsid w:val="00990E26"/>
    <w:rsid w:val="009912C0"/>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0941"/>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5EC"/>
    <w:rsid w:val="00AD6BB3"/>
    <w:rsid w:val="00AD73BD"/>
    <w:rsid w:val="00AE0B15"/>
    <w:rsid w:val="00AE2DA9"/>
    <w:rsid w:val="00AE6034"/>
    <w:rsid w:val="00AE7791"/>
    <w:rsid w:val="00AF1E51"/>
    <w:rsid w:val="00AF2031"/>
    <w:rsid w:val="00AF3EA5"/>
    <w:rsid w:val="00AF42FB"/>
    <w:rsid w:val="00B031F0"/>
    <w:rsid w:val="00B0357A"/>
    <w:rsid w:val="00B04174"/>
    <w:rsid w:val="00B056E1"/>
    <w:rsid w:val="00B068D8"/>
    <w:rsid w:val="00B06DAC"/>
    <w:rsid w:val="00B111FB"/>
    <w:rsid w:val="00B1220A"/>
    <w:rsid w:val="00B16351"/>
    <w:rsid w:val="00B1654B"/>
    <w:rsid w:val="00B205D6"/>
    <w:rsid w:val="00B20D9C"/>
    <w:rsid w:val="00B2134F"/>
    <w:rsid w:val="00B21543"/>
    <w:rsid w:val="00B216D0"/>
    <w:rsid w:val="00B221DF"/>
    <w:rsid w:val="00B231F7"/>
    <w:rsid w:val="00B2447D"/>
    <w:rsid w:val="00B2564D"/>
    <w:rsid w:val="00B31CC2"/>
    <w:rsid w:val="00B33243"/>
    <w:rsid w:val="00B40886"/>
    <w:rsid w:val="00B416A3"/>
    <w:rsid w:val="00B432D0"/>
    <w:rsid w:val="00B47D59"/>
    <w:rsid w:val="00B52204"/>
    <w:rsid w:val="00B5431E"/>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0F58"/>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1FFE"/>
    <w:rsid w:val="00C13205"/>
    <w:rsid w:val="00C14CD9"/>
    <w:rsid w:val="00C14D4E"/>
    <w:rsid w:val="00C154A6"/>
    <w:rsid w:val="00C159E6"/>
    <w:rsid w:val="00C16441"/>
    <w:rsid w:val="00C221E5"/>
    <w:rsid w:val="00C230B9"/>
    <w:rsid w:val="00C257E0"/>
    <w:rsid w:val="00C25C27"/>
    <w:rsid w:val="00C274E7"/>
    <w:rsid w:val="00C27C1C"/>
    <w:rsid w:val="00C32774"/>
    <w:rsid w:val="00C363CF"/>
    <w:rsid w:val="00C36B2C"/>
    <w:rsid w:val="00C4290B"/>
    <w:rsid w:val="00C42FDD"/>
    <w:rsid w:val="00C45161"/>
    <w:rsid w:val="00C4582C"/>
    <w:rsid w:val="00C458C5"/>
    <w:rsid w:val="00C45E74"/>
    <w:rsid w:val="00C475CC"/>
    <w:rsid w:val="00C53568"/>
    <w:rsid w:val="00C60488"/>
    <w:rsid w:val="00C61013"/>
    <w:rsid w:val="00C62859"/>
    <w:rsid w:val="00C64020"/>
    <w:rsid w:val="00C7173B"/>
    <w:rsid w:val="00C726D4"/>
    <w:rsid w:val="00C72714"/>
    <w:rsid w:val="00C7357D"/>
    <w:rsid w:val="00C75417"/>
    <w:rsid w:val="00C77B73"/>
    <w:rsid w:val="00C808B8"/>
    <w:rsid w:val="00C81844"/>
    <w:rsid w:val="00C8233F"/>
    <w:rsid w:val="00C82E17"/>
    <w:rsid w:val="00C87EFE"/>
    <w:rsid w:val="00C917D4"/>
    <w:rsid w:val="00C94044"/>
    <w:rsid w:val="00C97CF0"/>
    <w:rsid w:val="00CA1CEF"/>
    <w:rsid w:val="00CA4418"/>
    <w:rsid w:val="00CA53AD"/>
    <w:rsid w:val="00CB0EF4"/>
    <w:rsid w:val="00CB13CF"/>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6709"/>
    <w:rsid w:val="00D1751A"/>
    <w:rsid w:val="00D21046"/>
    <w:rsid w:val="00D21E5E"/>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1D34"/>
    <w:rsid w:val="00E92090"/>
    <w:rsid w:val="00E93042"/>
    <w:rsid w:val="00E93603"/>
    <w:rsid w:val="00E97910"/>
    <w:rsid w:val="00EA20C3"/>
    <w:rsid w:val="00EA477E"/>
    <w:rsid w:val="00EA60A8"/>
    <w:rsid w:val="00EA69A2"/>
    <w:rsid w:val="00EB0B76"/>
    <w:rsid w:val="00EB13DB"/>
    <w:rsid w:val="00EB3DB3"/>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7D3"/>
    <w:rsid w:val="00ED4F45"/>
    <w:rsid w:val="00ED7235"/>
    <w:rsid w:val="00EE058C"/>
    <w:rsid w:val="00EE5DA0"/>
    <w:rsid w:val="00EF2515"/>
    <w:rsid w:val="00EF4F9F"/>
    <w:rsid w:val="00EF5111"/>
    <w:rsid w:val="00EF5CA5"/>
    <w:rsid w:val="00EF7868"/>
    <w:rsid w:val="00F00460"/>
    <w:rsid w:val="00F018FE"/>
    <w:rsid w:val="00F04108"/>
    <w:rsid w:val="00F0423E"/>
    <w:rsid w:val="00F04409"/>
    <w:rsid w:val="00F05812"/>
    <w:rsid w:val="00F13C00"/>
    <w:rsid w:val="00F13F3B"/>
    <w:rsid w:val="00F1439A"/>
    <w:rsid w:val="00F1767E"/>
    <w:rsid w:val="00F208EF"/>
    <w:rsid w:val="00F20F02"/>
    <w:rsid w:val="00F23E2C"/>
    <w:rsid w:val="00F27B2C"/>
    <w:rsid w:val="00F321EF"/>
    <w:rsid w:val="00F32BB5"/>
    <w:rsid w:val="00F3368F"/>
    <w:rsid w:val="00F34000"/>
    <w:rsid w:val="00F34B3C"/>
    <w:rsid w:val="00F37461"/>
    <w:rsid w:val="00F40D73"/>
    <w:rsid w:val="00F43505"/>
    <w:rsid w:val="00F43A3D"/>
    <w:rsid w:val="00F54221"/>
    <w:rsid w:val="00F54DB8"/>
    <w:rsid w:val="00F56C78"/>
    <w:rsid w:val="00F601EC"/>
    <w:rsid w:val="00F625D0"/>
    <w:rsid w:val="00F64341"/>
    <w:rsid w:val="00F6446B"/>
    <w:rsid w:val="00F655C3"/>
    <w:rsid w:val="00F66D1F"/>
    <w:rsid w:val="00F711A4"/>
    <w:rsid w:val="00F71A39"/>
    <w:rsid w:val="00F76E74"/>
    <w:rsid w:val="00F773C3"/>
    <w:rsid w:val="00F80B61"/>
    <w:rsid w:val="00F80D31"/>
    <w:rsid w:val="00F81307"/>
    <w:rsid w:val="00F879CD"/>
    <w:rsid w:val="00F911EA"/>
    <w:rsid w:val="00F9162A"/>
    <w:rsid w:val="00F9247D"/>
    <w:rsid w:val="00F93DB8"/>
    <w:rsid w:val="00F95A84"/>
    <w:rsid w:val="00F96C6A"/>
    <w:rsid w:val="00F96F16"/>
    <w:rsid w:val="00FA0694"/>
    <w:rsid w:val="00FA29AD"/>
    <w:rsid w:val="00FA6DD4"/>
    <w:rsid w:val="00FB179D"/>
    <w:rsid w:val="00FB4D7B"/>
    <w:rsid w:val="00FB6C63"/>
    <w:rsid w:val="00FB6CA4"/>
    <w:rsid w:val="00FC0691"/>
    <w:rsid w:val="00FC1102"/>
    <w:rsid w:val="00FC3E0E"/>
    <w:rsid w:val="00FC3EC2"/>
    <w:rsid w:val="00FC6AB6"/>
    <w:rsid w:val="00FC76F0"/>
    <w:rsid w:val="00FC777B"/>
    <w:rsid w:val="00FD2B59"/>
    <w:rsid w:val="00FD59C9"/>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Props1.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3.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4.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3741</Words>
  <Characters>21440</Characters>
  <Application>Microsoft Office Word</Application>
  <DocSecurity>0</DocSecurity>
  <Lines>357</Lines>
  <Paragraphs>72</Paragraphs>
  <ScaleCrop>false</ScaleCrop>
  <Manager>Adam Elias</Manager>
  <Company>Bellarmine University</Company>
  <LinksUpToDate>false</LinksUpToDate>
  <CharactersWithSpaces>25109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Sawyer Mason</cp:lastModifiedBy>
  <cp:revision>2</cp:revision>
  <cp:lastPrinted>2021-09-02T13:27:00Z</cp:lastPrinted>
  <dcterms:created xsi:type="dcterms:W3CDTF">2023-01-05T17:28:00Z</dcterms:created>
  <dcterms:modified xsi:type="dcterms:W3CDTF">2023-01-05T17:28:00Z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y fmtid="{D5CDD505-2E9C-101B-9397-08002B2CF9AE}" pid="4" name="GrammarlyDocumentId">
    <vt:lpwstr>ec37333a5aaaca9e6507d35851e4d21eab0fa3bc65f5e92d1a33451d3c943c57</vt:lpwstr>
  </property>
</Properties>
</file>