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pStyle w:val="MakaleBal"/>
        <w:jc w:val="center"/>
      </w:pPr>
      <w:r>
        <w:rPr>
          <w:rFonts w:ascii="Cambria" w:hAnsi="Cambria" w:cs="Cambria" w:eastAsia="Cambria"/>
          <w:b/>
          <w:i w:val="0"/>
          <w:color w:val="000000"/>
          <w:sz w:val="24"/>
        </w:rPr>
        <w:t>ÇEVRİMDIŞI BİRLEŞİMDEN ÇEVRİMİÇİ GERÇEKLEMEYE UR10e ANOMALİ TESPİTİ</w:t>
      </w:r>
    </w:p>
    <w:p>
      <w:pPr>
        <w:jc w:val="center"/>
      </w:pPr>
      <w:r>
        <w:rPr>
          <w:rFonts w:ascii="Cambria" w:hAnsi="Cambria" w:cs="Cambria" w:eastAsia="Cambria"/>
          <w:b w:val="0"/>
          <w:i w:val="0"/>
          <w:color w:val="000000"/>
          <w:sz w:val="20"/>
        </w:rPr>
        <w:t>Adı SOYADI</w:t>
      </w:r>
      <w:r>
        <w:rPr>
          <w:rFonts w:ascii="Cambria" w:hAnsi="Cambria" w:cs="Cambria" w:eastAsia="Cambria"/>
          <w:b w:val="0"/>
          <w:i w:val="0"/>
          <w:color w:val="000000"/>
          <w:sz w:val="13"/>
          <w:vertAlign w:val="superscript"/>
        </w:rPr>
        <w:t>1*</w:t>
      </w:r>
      <w:r>
        <w:rPr>
          <w:rFonts w:ascii="Cambria" w:hAnsi="Cambria" w:cs="Cambria" w:eastAsia="Cambria"/>
          <w:b w:val="0"/>
          <w:i w:val="0"/>
          <w:color w:val="000000"/>
          <w:sz w:val="20"/>
        </w:rPr>
        <w:t>,  Adı SOYADI</w:t>
      </w:r>
      <w:r>
        <w:rPr>
          <w:rFonts w:ascii="Cambria" w:hAnsi="Cambria" w:cs="Cambria" w:eastAsia="Cambria"/>
          <w:b w:val="0"/>
          <w:i w:val="0"/>
          <w:color w:val="000000"/>
          <w:sz w:val="13"/>
          <w:vertAlign w:val="superscript"/>
        </w:rPr>
        <w:t>2</w:t>
      </w:r>
      <w:r>
        <w:rPr>
          <w:rFonts w:ascii="Cambria" w:hAnsi="Cambria" w:cs="Cambria" w:eastAsia="Cambria"/>
          <w:b w:val="0"/>
          <w:i w:val="0"/>
          <w:color w:val="000000"/>
          <w:sz w:val="20"/>
        </w:rPr>
        <w:t xml:space="preserve">  (Dergi editörlüğü tarafından basım aşamasında yazılacaktır.)</w:t>
      </w:r>
    </w:p>
    <w:p>
      <w:pPr>
        <w:jc w:val="center"/>
      </w:pPr>
      <w:r>
        <w:rPr>
          <w:rFonts w:ascii="Cambria" w:hAnsi="Cambria" w:cs="Cambria" w:eastAsia="Cambria"/>
          <w:b w:val="0"/>
          <w:i w:val="0"/>
          <w:color w:val="000000"/>
          <w:sz w:val="16"/>
        </w:rPr>
        <w:t xml:space="preserve">1 </w:t>
      </w:r>
      <w:r>
        <w:rPr>
          <w:rFonts w:ascii="Cambria" w:hAnsi="Cambria" w:cs="Cambria" w:eastAsia="Cambria"/>
          <w:b w:val="0"/>
          <w:i w:val="0"/>
          <w:color w:val="000000"/>
          <w:sz w:val="16"/>
        </w:rPr>
        <w:t>Yazar 1 Adresi, ORCID No : https://orcid.org/</w:t>
      </w:r>
    </w:p>
    <w:p>
      <w:pPr>
        <w:jc w:val="center"/>
      </w:pPr>
      <w:r>
        <w:rPr>
          <w:rFonts w:ascii="Cambria" w:hAnsi="Cambria" w:cs="Cambria" w:eastAsia="Cambria"/>
          <w:b w:val="0"/>
          <w:i w:val="0"/>
          <w:color w:val="000000"/>
          <w:sz w:val="16"/>
        </w:rPr>
        <w:t xml:space="preserve">2 </w:t>
      </w:r>
      <w:r>
        <w:rPr>
          <w:rFonts w:ascii="Cambria" w:hAnsi="Cambria" w:cs="Cambria" w:eastAsia="Cambria"/>
          <w:b w:val="0"/>
          <w:i w:val="0"/>
          <w:color w:val="000000"/>
          <w:sz w:val="16"/>
        </w:rPr>
        <w:t>Yazar 2 Adresi, ORCID No : https://orcid.org/</w:t>
      </w:r>
    </w:p>
    <w:p>
      <w:pPr/>
    </w:p>
    <w:tbl>
      <w:tblPr>
        <w:jc w:val="center"/>
        <w:tblLook w:firstColumn="1" w:firstRow="1" w:lastColumn="0" w:lastRow="0" w:noHBand="0" w:noVBand="1" w:val="04A0"/>
        <w:tblW w:w="10149" w:type="dxa"/>
        <w:tblLayout w:type="fixed"/>
      </w:tblPr>
      <w:tblGrid>
        <w:gridCol w:w="2608"/>
        <w:gridCol w:w="7541"/>
      </w:tblGrid>
      <w:tr>
        <w:tc>
          <w:tcPr>
            <w:tcW w:w="2608" w:type="dxa"/>
            <w:tcBorders>
              <w:top w:val="single" w:sz="8" w:space="0" w:color="000000"/>
              <w:left w:val="nil"/>
              <w:bottom w:val="nil"/>
              <w:right w:val="nil"/>
            </w:tcBorders>
          </w:tcPr>
          <w:p>
            <w:pPr>
              <w:spacing w:before="40" w:after="40"/>
            </w:pPr>
            <w:r>
              <w:rPr>
                <w:rFonts w:ascii="Cambria" w:hAnsi="Cambria" w:cs="Cambria" w:eastAsia="Cambria"/>
                <w:b/>
                <w:i w:val="0"/>
                <w:color w:val="000000"/>
                <w:sz w:val="20"/>
              </w:rPr>
              <w:t>Anahtar Kelimeler</w:t>
            </w:r>
          </w:p>
        </w:tc>
        <w:tc>
          <w:tcPr>
            <w:tcW w:w="7541" w:type="dxa"/>
            <w:tcBorders>
              <w:top w:val="single" w:sz="8" w:space="0" w:color="000000"/>
              <w:left w:val="nil"/>
              <w:bottom w:val="nil"/>
              <w:right w:val="nil"/>
            </w:tcBorders>
          </w:tcPr>
          <w:p>
            <w:pPr>
              <w:spacing w:before="40" w:after="40"/>
            </w:pPr>
            <w:r>
              <w:rPr>
                <w:rFonts w:ascii="Cambria" w:hAnsi="Cambria" w:cs="Cambria" w:eastAsia="Cambria"/>
                <w:b/>
                <w:i w:val="0"/>
                <w:color w:val="000000"/>
                <w:sz w:val="20"/>
              </w:rPr>
              <w:t>Öz</w:t>
            </w:r>
          </w:p>
        </w:tc>
      </w:tr>
      <w:tr>
        <w:tc>
          <w:tcPr>
            <w:tcW w:w="2608" w:type="dxa"/>
            <w:tcBorders>
              <w:top w:val="single" w:sz="4" w:space="0" w:color="000000"/>
              <w:left w:val="nil"/>
              <w:bottom w:val="nil"/>
              <w:right w:val="nil"/>
            </w:tcBorders>
          </w:tcPr>
          <w:p>
            <w:pPr>
              <w:spacing w:before="0" w:after="0"/>
              <w:jc w:val="left"/>
            </w:pPr>
            <w:r>
              <w:rPr>
                <w:rFonts w:ascii="Cambria" w:hAnsi="Cambria" w:cs="Cambria" w:eastAsia="Cambria"/>
                <w:b w:val="0"/>
                <w:i/>
                <w:color w:val="000000"/>
                <w:sz w:val="18"/>
              </w:rPr>
              <w:t>Anomali tespiti</w:t>
            </w:r>
          </w:p>
          <w:p>
            <w:pPr>
              <w:spacing w:before="0" w:after="0"/>
              <w:jc w:val="left"/>
            </w:pPr>
            <w:r>
              <w:rPr>
                <w:rFonts w:ascii="Cambria" w:hAnsi="Cambria" w:cs="Cambria" w:eastAsia="Cambria"/>
                <w:b w:val="0"/>
                <w:i/>
                <w:color w:val="000000"/>
                <w:sz w:val="18"/>
              </w:rPr>
              <w:t>İşbirlikçi robotlar</w:t>
            </w:r>
          </w:p>
          <w:p>
            <w:pPr>
              <w:spacing w:before="0" w:after="0"/>
              <w:jc w:val="left"/>
            </w:pPr>
            <w:r>
              <w:rPr>
                <w:rFonts w:ascii="Cambria" w:hAnsi="Cambria" w:cs="Cambria" w:eastAsia="Cambria"/>
                <w:b w:val="0"/>
                <w:i/>
                <w:color w:val="000000"/>
                <w:sz w:val="18"/>
              </w:rPr>
              <w:t>LSTM özkodlayıcı</w:t>
            </w:r>
          </w:p>
          <w:p>
            <w:pPr>
              <w:spacing w:before="0" w:after="0"/>
              <w:jc w:val="left"/>
            </w:pPr>
            <w:r>
              <w:rPr>
                <w:rFonts w:ascii="Cambria" w:hAnsi="Cambria" w:cs="Cambria" w:eastAsia="Cambria"/>
                <w:b w:val="0"/>
                <w:i/>
                <w:color w:val="000000"/>
                <w:sz w:val="18"/>
              </w:rPr>
              <w:t>Skor birleşimi</w:t>
            </w:r>
          </w:p>
          <w:p>
            <w:pPr>
              <w:spacing w:before="0" w:after="0"/>
              <w:jc w:val="left"/>
            </w:pPr>
            <w:r>
              <w:rPr>
                <w:rFonts w:ascii="Cambria" w:hAnsi="Cambria" w:cs="Cambria" w:eastAsia="Cambria"/>
                <w:b w:val="0"/>
                <w:i/>
                <w:color w:val="000000"/>
                <w:sz w:val="18"/>
              </w:rPr>
              <w:t>Gerçek zamanlı sistem</w:t>
            </w:r>
          </w:p>
        </w:tc>
        <w:tc>
          <w:tcPr>
            <w:tcW w:w="7541" w:type="dxa"/>
            <w:tcBorders>
              <w:top w:val="single" w:sz="4" w:space="0" w:color="000000"/>
              <w:left w:val="nil"/>
              <w:bottom w:val="nil"/>
              <w:right w:val="nil"/>
            </w:tcBorders>
          </w:tcPr>
          <w:p>
            <w:pPr>
              <w:spacing w:before="40" w:after="40"/>
              <w:jc w:val="both"/>
            </w:pPr>
            <w:r>
              <w:rPr>
                <w:rFonts w:ascii="Cambria" w:hAnsi="Cambria" w:cs="Cambria" w:eastAsia="Cambria"/>
                <w:b w:val="0"/>
                <w:i/>
                <w:color w:val="000000"/>
                <w:sz w:val="20"/>
              </w:rPr>
              <w:t>İşbirlikçi robotlarda anomalilerin erken tespiti operatör güvenliği ve üretim sürekliliği açısından kritiktir. Önceki çalışmada, bir UR10e kobot için fizik tabanlı kalıntı özkodlayıcısı ile veri güdümlü ham sinyal özkodlayıcısının skor düzeyinde birleşimi sunulmuş ve yalnızca çevrimdışı değerlendirilmişti. Bu makale o çerçeveyi başlangıç noktası alarak dört yönde genişletmekte ve gerçek hücrede çalışan bir dedektör olarak teslim etmektedir. Kalıntı tanımı, doğrulanmış ters dinamik çözücünün içermediği sürtünme terimiyle tamamlanmış, bilek eklemlerinde kalıntı yayılımı %87 ve %92 azalmıştır. Değerlendirme koşu-ayrık bölme ve beş eğitim tohumu üzerine oturtulmuş, bu koşulda birleşim iki tekil modeli de geçmiştir (F1 0,791'e karşılık 0,627 ve 0,614). Arızaların yalnız ölçülen kanallara uygulandığı ve kalıntının yeniden hesaplandığı fiziksel olarak tutarlı bir enjeksiyon protokolü ise birleşim marjını her tohumda +0,189'dan -0,003 PR-AUC'ye indirmektedir; tamamlayıcılığın kaynağı, fiziksel yayılımından elli bir kat küçük seçilmiş tek bir enjeksiyon genliğidir. Dedektör, öznitelik motoru çevrimdışı hatla kayan nokta düzeyinde örtüşen 500 Hz'lik bir ROS 2 düğümü olarak gerçeklenmiştir. Donanımda çevrimdışı türetilen eşik taşınmamış; sebebi her iki modelin de eğitim dağılımının çok dışında çalışması ve %5 ağırlıklı modelin birleşik skorun %29'unu sürüklemesidir. Hücrede yeniden kalibrasyondan sonra dedektör, operatörce doğrulanmış üç çarpışmayı yanlış alarm üretmeden yakalamış, düşük genlikli bir temas ise normal hareketin altında kalmıştır.</w:t>
            </w:r>
          </w:p>
        </w:tc>
      </w:tr>
      <w:tr>
        <w:tc>
          <w:tcPr>
            <w:tcW w:w="2608" w:type="dxa"/>
            <w:tcBorders>
              <w:top w:val="nil"/>
              <w:left w:val="nil"/>
              <w:bottom w:val="single" w:sz="8" w:space="0" w:color="000000"/>
              <w:right w:val="nil"/>
            </w:tcBorders>
          </w:tcPr>
          <w:p>
            <w:r>
              <w:rPr>
                <w:rFonts w:ascii="Cambria" w:hAnsi="Cambria" w:cs="Cambria" w:eastAsia="Cambria"/>
                <w:b/>
                <w:i w:val="0"/>
                <w:color w:val="000000"/>
                <w:sz w:val="18"/>
              </w:rPr>
              <w:t>Araştırma Makalesi</w:t>
            </w:r>
          </w:p>
        </w:tc>
        <w:tc>
          <w:tcPr>
            <w:tcW w:w="7541" w:type="dxa"/>
            <w:tcBorders>
              <w:top w:val="nil"/>
              <w:left w:val="nil"/>
              <w:bottom w:val="single" w:sz="8" w:space="0" w:color="000000"/>
              <w:right w:val="nil"/>
            </w:tcBorders>
          </w:tcPr>
          <w:p>
            <w:r>
              <w:rPr>
                <w:rFonts w:ascii="Cambria" w:hAnsi="Cambria" w:cs="Cambria" w:eastAsia="Cambria"/>
                <w:b w:val="0"/>
                <w:i w:val="0"/>
                <w:color w:val="444444"/>
                <w:sz w:val="18"/>
              </w:rPr>
              <w:t>Received / Geliş :               Accepted / Kabul :</w:t>
            </w:r>
          </w:p>
        </w:tc>
      </w:tr>
    </w:tbl>
    <w:p>
      <w:pPr/>
    </w:p>
    <w:p>
      <w:pPr>
        <w:pStyle w:val="MakaleBal"/>
        <w:jc w:val="center"/>
      </w:pPr>
      <w:r>
        <w:rPr>
          <w:rFonts w:ascii="Cambria" w:hAnsi="Cambria" w:cs="Cambria" w:eastAsia="Cambria"/>
          <w:b/>
          <w:i w:val="0"/>
          <w:color w:val="000000"/>
          <w:sz w:val="24"/>
        </w:rPr>
        <w:t>FROM OFFLINE FUSION TO ONLINE DEPLOYMENT: ANOMALY DETECTION ON A UR10e COBOT</w:t>
      </w:r>
    </w:p>
    <w:p>
      <w:pPr/>
    </w:p>
    <w:tbl>
      <w:tblPr>
        <w:jc w:val="center"/>
        <w:tblLook w:firstColumn="1" w:firstRow="1" w:lastColumn="0" w:lastRow="0" w:noHBand="0" w:noVBand="1" w:val="04A0"/>
        <w:tblW w:w="10149" w:type="dxa"/>
        <w:tblLayout w:type="fixed"/>
      </w:tblPr>
      <w:tblGrid>
        <w:gridCol w:w="2608"/>
        <w:gridCol w:w="7541"/>
      </w:tblGrid>
      <w:tr>
        <w:tc>
          <w:tcPr>
            <w:tcW w:w="2608" w:type="dxa"/>
            <w:tcBorders>
              <w:top w:val="single" w:sz="8" w:space="0" w:color="000000"/>
              <w:left w:val="nil"/>
              <w:bottom w:val="nil"/>
              <w:right w:val="nil"/>
            </w:tcBorders>
          </w:tcPr>
          <w:p>
            <w:pPr>
              <w:spacing w:before="40" w:after="40"/>
            </w:pPr>
            <w:r>
              <w:rPr>
                <w:rFonts w:ascii="Cambria" w:hAnsi="Cambria" w:cs="Cambria" w:eastAsia="Cambria"/>
                <w:b/>
                <w:i w:val="0"/>
                <w:color w:val="000000"/>
                <w:sz w:val="20"/>
              </w:rPr>
              <w:t>Keywords</w:t>
            </w:r>
          </w:p>
        </w:tc>
        <w:tc>
          <w:tcPr>
            <w:tcW w:w="7541" w:type="dxa"/>
            <w:tcBorders>
              <w:top w:val="single" w:sz="8" w:space="0" w:color="000000"/>
              <w:left w:val="nil"/>
              <w:bottom w:val="nil"/>
              <w:right w:val="nil"/>
            </w:tcBorders>
          </w:tcPr>
          <w:p>
            <w:pPr>
              <w:spacing w:before="40" w:after="40"/>
            </w:pPr>
            <w:r>
              <w:rPr>
                <w:rFonts w:ascii="Cambria" w:hAnsi="Cambria" w:cs="Cambria" w:eastAsia="Cambria"/>
                <w:b/>
                <w:i w:val="0"/>
                <w:color w:val="000000"/>
                <w:sz w:val="20"/>
              </w:rPr>
              <w:t>Abstract</w:t>
            </w:r>
          </w:p>
        </w:tc>
      </w:tr>
      <w:tr>
        <w:tc>
          <w:tcPr>
            <w:tcW w:w="2608" w:type="dxa"/>
            <w:tcBorders>
              <w:top w:val="single" w:sz="4" w:space="0" w:color="000000"/>
              <w:left w:val="nil"/>
              <w:bottom w:val="nil"/>
              <w:right w:val="nil"/>
            </w:tcBorders>
          </w:tcPr>
          <w:p>
            <w:pPr>
              <w:spacing w:before="0" w:after="0"/>
              <w:jc w:val="left"/>
            </w:pPr>
            <w:r>
              <w:rPr>
                <w:rFonts w:ascii="Cambria" w:hAnsi="Cambria" w:cs="Cambria" w:eastAsia="Cambria"/>
                <w:b w:val="0"/>
                <w:i/>
                <w:color w:val="000000"/>
                <w:sz w:val="18"/>
              </w:rPr>
              <w:t>Anomaly detection</w:t>
            </w:r>
          </w:p>
          <w:p>
            <w:pPr>
              <w:spacing w:before="0" w:after="0"/>
              <w:jc w:val="left"/>
            </w:pPr>
            <w:r>
              <w:rPr>
                <w:rFonts w:ascii="Cambria" w:hAnsi="Cambria" w:cs="Cambria" w:eastAsia="Cambria"/>
                <w:b w:val="0"/>
                <w:i/>
                <w:color w:val="000000"/>
                <w:sz w:val="18"/>
              </w:rPr>
              <w:t>Collaborative robots</w:t>
            </w:r>
          </w:p>
          <w:p>
            <w:pPr>
              <w:spacing w:before="0" w:after="0"/>
              <w:jc w:val="left"/>
            </w:pPr>
            <w:r>
              <w:rPr>
                <w:rFonts w:ascii="Cambria" w:hAnsi="Cambria" w:cs="Cambria" w:eastAsia="Cambria"/>
                <w:b w:val="0"/>
                <w:i/>
                <w:color w:val="000000"/>
                <w:sz w:val="18"/>
              </w:rPr>
              <w:t>LSTM autoencoder</w:t>
            </w:r>
          </w:p>
          <w:p>
            <w:pPr>
              <w:spacing w:before="0" w:after="0"/>
              <w:jc w:val="left"/>
            </w:pPr>
            <w:r>
              <w:rPr>
                <w:rFonts w:ascii="Cambria" w:hAnsi="Cambria" w:cs="Cambria" w:eastAsia="Cambria"/>
                <w:b w:val="0"/>
                <w:i/>
                <w:color w:val="000000"/>
                <w:sz w:val="18"/>
              </w:rPr>
              <w:t>Score-level fusion</w:t>
            </w:r>
          </w:p>
          <w:p>
            <w:pPr>
              <w:spacing w:before="0" w:after="0"/>
              <w:jc w:val="left"/>
            </w:pPr>
            <w:r>
              <w:rPr>
                <w:rFonts w:ascii="Cambria" w:hAnsi="Cambria" w:cs="Cambria" w:eastAsia="Cambria"/>
                <w:b w:val="0"/>
                <w:i/>
                <w:color w:val="000000"/>
                <w:sz w:val="18"/>
              </w:rPr>
              <w:t>Real-time deployment</w:t>
            </w:r>
          </w:p>
        </w:tc>
        <w:tc>
          <w:tcPr>
            <w:tcW w:w="7541" w:type="dxa"/>
            <w:tcBorders>
              <w:top w:val="single" w:sz="4" w:space="0" w:color="000000"/>
              <w:left w:val="nil"/>
              <w:bottom w:val="nil"/>
              <w:right w:val="nil"/>
            </w:tcBorders>
          </w:tcPr>
          <w:p>
            <w:pPr>
              <w:spacing w:before="40" w:after="40"/>
              <w:jc w:val="both"/>
            </w:pPr>
            <w:r>
              <w:rPr>
                <w:rFonts w:ascii="Cambria" w:hAnsi="Cambria" w:cs="Cambria" w:eastAsia="Cambria"/>
                <w:b w:val="0"/>
                <w:i/>
                <w:color w:val="000000"/>
                <w:sz w:val="20"/>
              </w:rPr>
              <w:t>Early detection of anomalies in collaborative robots matters for operator safety and production continuity. Previous work introduced a score-level fusion of a physics-informed residual autoencoder and a data-driven raw signal autoencoder for a UR10e cobot, evaluated entirely offline. This paper takes that framework as its starting point, extends it in four directions and delivers it as a detector running on the physical cell. The residual definition is completed with a friction term fitted outside the validated inverse-dynamics solver, removing 87 % and 92 % of the residual spread at the wrist joints. The evaluation is placed on a run-disjoint footing with five training seeds, on which the fusion retains its advantage over both single models (F1 0.791 against 0.627 and 0.614). A physically consistent injection protocol, in which faults perturb only the measured channels and the residual is recomputed, reduces the fusion margin from +0.189 to -0.003 PR-AUC in every seed; the complementarity is traced to one injected amplitude fifty-one times smaller than its physical propagation. The detector was implemented as a 500 Hz ROS 2 node whose feature engine matches the offline pipeline to floating-point rounding. On hardware the offline-derived threshold did not transfer, because both models operate far outside their training distribution and a five-per- cent-weighted model supplied 29 % of the fused score. After recalibration on the cell the detector caught three operator-confirmed collisions with no false alarm, while a low-amplitude contact remained below normal motion.</w:t>
            </w:r>
          </w:p>
        </w:tc>
      </w:tr>
      <w:tr>
        <w:tc>
          <w:tcPr>
            <w:tcW w:w="2608" w:type="dxa"/>
            <w:tcBorders>
              <w:top w:val="nil"/>
              <w:left w:val="nil"/>
              <w:bottom w:val="single" w:sz="8" w:space="0" w:color="000000"/>
              <w:right w:val="nil"/>
            </w:tcBorders>
          </w:tcPr>
          <w:p>
            <w:r>
              <w:rPr>
                <w:rFonts w:ascii="Cambria" w:hAnsi="Cambria" w:cs="Cambria" w:eastAsia="Cambria"/>
                <w:b/>
                <w:i w:val="0"/>
                <w:color w:val="000000"/>
                <w:sz w:val="18"/>
              </w:rPr>
              <w:t>Research Article</w:t>
            </w:r>
          </w:p>
        </w:tc>
        <w:tc>
          <w:tcPr>
            <w:tcW w:w="7541" w:type="dxa"/>
            <w:tcBorders>
              <w:top w:val="nil"/>
              <w:left w:val="nil"/>
              <w:bottom w:val="single" w:sz="8" w:space="0" w:color="000000"/>
              <w:right w:val="nil"/>
            </w:tcBorders>
          </w:tcPr>
          <w:p>
            <w:r>
              <w:rPr>
                <w:rFonts w:ascii="Cambria" w:hAnsi="Cambria" w:cs="Cambria" w:eastAsia="Cambria"/>
                <w:b w:val="0"/>
                <w:i w:val="0"/>
                <w:color w:val="444444"/>
                <w:sz w:val="18"/>
              </w:rPr>
              <w:t>Received / Geliş :               Accepted / Kabul :</w:t>
            </w:r>
          </w:p>
        </w:tc>
      </w:tr>
    </w:tbl>
    <w:p>
      <w:pPr/>
    </w:p>
    <w:p w:rsidR="00511196" w:rsidRDefault="00511196" w:rsidP="00810D2B">
      <w:pPr>
        <w:pStyle w:val="Balk-1"/>
        <w:sectPr w:rsidR="00511196" w:rsidSect="00327F76">
          <w:headerReference w:type="default" r:id="rId12"/>
          <w:footerReference w:type="default" r:id="rId13"/>
          <w:headerReference w:type="first" r:id="rId14"/>
          <w:pgSz w:w="11906" w:h="16838" w:code="9"/>
          <w:pgMar w:top="1701" w:right="851" w:bottom="1418" w:left="851" w:header="1134" w:footer="1134" w:gutter="0"/>
          <w:cols w:space="708"/>
          <w:docGrid w:linePitch="360"/>
        </w:sectPr>
      </w:pPr>
    </w:p>
    <w:p>
      <w:pPr>
        <w:pStyle w:val="Balk-1"/>
        <w:keepNext/>
        <w:spacing w:before="240" w:after="40"/>
      </w:pPr>
      <w:r>
        <w:rPr>
          <w:rFonts w:ascii="Cambria" w:hAnsi="Cambria" w:cs="Cambria" w:eastAsia="Cambria"/>
          <w:b/>
          <w:i w:val="0"/>
          <w:color w:val="000000"/>
          <w:sz w:val="20"/>
        </w:rPr>
        <w:t>1. Giriş</w:t>
      </w:r>
    </w:p>
    <w:p>
      <w:pPr>
        <w:pStyle w:val="Paragraf"/>
        <w:spacing w:before="120" w:after="0"/>
        <w:jc w:val="both"/>
      </w:pPr>
      <w:r>
        <w:rPr>
          <w:rFonts w:ascii="Cambria" w:hAnsi="Cambria" w:cs="Cambria" w:eastAsia="Cambria"/>
          <w:b w:val="0"/>
          <w:i w:val="0"/>
          <w:color w:val="000000"/>
          <w:sz w:val="20"/>
        </w:rPr>
        <w:t>İşbirlikçi robotlar çalışma hacmini insan operatörlerle paylaşır; bu yüzden çarpışma, bozulan bir motor ya da arızalanan bir algılayıcı gibi anomalilerin olaya dönüşmeden tespit edilmesi gerekir. İki yöntem ailesi öne çıkar. Fizik tabanlı kalıntı yöntemleri robotun dinamik modelini ölçülen kuvvetlerle karşılaştırır ve farkı arıza göstergesi sayar; boyutu düşürür ve gürültüyü bastırırlar, ama düşük genlikli algılayıcı anomalilerini de bastırırlar. Veri güdümlü yöntemler karmaşık örüntüleri doğrudan yüksek boyutlu ham sinyallerden öğrenir, ancak fiziksel bir modelin sağladığı yapıdan yoksundurlar. İki aile bu nedenle farklı arıza tiplerinde başarısız olur ve bu asimetri, ikisini birleştirerek değerlendirilebilir.</w:t>
      </w:r>
    </w:p>
    <w:p>
      <w:pPr>
        <w:pStyle w:val="Paragraf"/>
        <w:spacing w:before="120" w:after="0"/>
        <w:jc w:val="both"/>
      </w:pPr>
      <w:r>
        <w:rPr>
          <w:rFonts w:ascii="Cambria" w:hAnsi="Cambria" w:cs="Cambria" w:eastAsia="Cambria"/>
          <w:b w:val="0"/>
          <w:i w:val="0"/>
          <w:color w:val="000000"/>
          <w:sz w:val="20"/>
        </w:rPr>
        <w:t>Önceki çalışmamızda bir UR10e kobot için tam olarak böyle bir birleşim önerilmişti (Yılmaz, Kahraman, Yılmaz, Yavuz ve Yayan, 2026). Fonksiyonel Model Birimi (Functional Mock-up Unit, FMU) ters dinamik modelinden türetilen on iki içsel ve dışsal kalıntı kanalı üzerinde çalışan bir kalıntı Uzun Kısa Süreli Bellek (Long Short-Term Memory, LSTM) özkodlayıcısı, yirmi dört doğrudan algılayıcı kanalı üzerinde çalışan bir ham LSTM özkodlayıcısıyla skor düzeyinde birleştirilmişti. O çalışma tümüyle çevrimdışı, kayıtlı bir veri kümesi üzerinde değerlendirilmiş ve kendi gelecek çalışma listesinde tek bir maddeyi en önemli açık iş olarak adlandırmıştı: sistemi robotla eş zamanlı ve çevrimiçi çalıştırmak.</w:t>
      </w:r>
    </w:p>
    <w:p>
      <w:pPr>
        <w:pStyle w:val="Paragraf"/>
        <w:spacing w:before="120" w:after="0"/>
        <w:jc w:val="both"/>
      </w:pPr>
      <w:r>
        <w:rPr>
          <w:rFonts w:ascii="Cambria" w:hAnsi="Cambria" w:cs="Cambria" w:eastAsia="Cambria"/>
          <w:b w:val="0"/>
          <w:i w:val="0"/>
          <w:color w:val="000000"/>
          <w:sz w:val="20"/>
        </w:rPr>
        <w:t>Bu makale o maddeyi kapatmaktadır. Anılan çalışmanın çerçevesi başlangıç noktası alınmakta, dört yönde genişletilmekte ve sonuç, gerçek hücrede çalışan bir dedektör olarak teslim edilmektedir. Kalıntı tanımı, doğrulanmış ters dinamik çözücünün içermediği sürtünme terimiyle tamamlanmaktadır; değerlendirme, her sayının bir belirsizlik taşıması için koşu-ayrık bir bölme ve beş eğitim tohumu üzerine oturtulmaktadır; arıza enjeksiyonu fiziksel olarak tutarlı hale getirilmekte, ki bunun birleşimin değerini değiştirdiği görülmektedir; ve normalleştirme ile eşiğe, geleceği görmeden kestirilebilecek bir biçim verilmekte, çevrimdışı değerler taşınmadığında ise bunlar hücrede yeniden kestirilmektedir. Dedektör ardından devreye alınmış ve provoke edilen çarpışmalara karşı doğrulanmıştır.</w:t>
      </w:r>
    </w:p>
    <w:p>
      <w:pPr>
        <w:pStyle w:val="Paragraf"/>
        <w:spacing w:before="120" w:after="0"/>
        <w:jc w:val="both"/>
      </w:pPr>
      <w:r>
        <w:rPr>
          <w:rFonts w:ascii="Cambria" w:hAnsi="Cambria" w:cs="Cambria" w:eastAsia="Cambria"/>
          <w:b w:val="0"/>
          <w:i w:val="0"/>
          <w:color w:val="000000"/>
          <w:sz w:val="20"/>
        </w:rPr>
        <w:t>Bu çalışmanın doldurduğu boşluk dolayısıyla yeni bir mimari değildir. Robot anomali tespiti için birleşim çerçeveleri çoktur ve neredeyse her zaman, arıza enjekte edilmiş kayıtlı veri üzerinde değerlendirilirler. Nadiren raporlanan şey, böyle bir çerçevenin hangi parçalarının donanımla temasa dayandığıdır: çalışma eşiği taşınıyor mu, normalleştirme nedensel mi, ölçülen birleşim üstünlüğü arızaların nasıl enjekte edildiğine bağlı mı, ve dedektör çalışır hale geldiğinde neyi görüp neyi göremiyor. Bu makale bu ölçümleri tek bir eksiksiz sistem için raporlamakta ve ortaya çıkan çalışma zarfını iki yandan da belirtmektedir.</w:t>
      </w:r>
    </w:p>
    <w:p>
      <w:pPr>
        <w:pStyle w:val="Paragraf"/>
        <w:spacing w:before="120" w:after="0"/>
        <w:jc w:val="both"/>
      </w:pPr>
      <w:r>
        <w:rPr>
          <w:rFonts w:ascii="Cambria" w:hAnsi="Cambria" w:cs="Cambria" w:eastAsia="Cambria"/>
          <w:b w:val="0"/>
          <w:i w:val="0"/>
          <w:color w:val="000000"/>
          <w:sz w:val="20"/>
        </w:rPr>
        <w:t>Katkılar şunlardır:</w:t>
      </w:r>
    </w:p>
    <w:p>
      <w:pPr>
        <w:pStyle w:val="Paragraf"/>
        <w:spacing w:before="60" w:after="0"/>
        <w:ind w:left="227"/>
        <w:jc w:val="both"/>
      </w:pPr>
      <w:r>
        <w:rPr>
          <w:rFonts w:ascii="Cambria" w:hAnsi="Cambria" w:cs="Cambria" w:eastAsia="Cambria"/>
          <w:b w:val="0"/>
          <w:i w:val="0"/>
          <w:color w:val="000000"/>
          <w:sz w:val="20"/>
        </w:rPr>
        <w:t>•  doğrulanmış çözücünün dışında uydurulan Coulomb+viskoz bir sürtünme terimiyle tamamlanan bir kalıntı tanımı; bu terim, ters dinamiğin daha önce neredeyse hiçbir katkı sağlamadığı iki bilek ekleminde kalıntı yayılımının %87 ve %92'sini gidermektedir;</w:t>
      </w:r>
    </w:p>
    <w:p>
      <w:pPr>
        <w:pStyle w:val="Paragraf"/>
        <w:spacing w:before="60" w:after="0"/>
        <w:ind w:left="227"/>
        <w:jc w:val="both"/>
      </w:pPr>
      <w:r>
        <w:rPr>
          <w:rFonts w:ascii="Cambria" w:hAnsi="Cambria" w:cs="Cambria" w:eastAsia="Cambria"/>
          <w:b w:val="0"/>
          <w:i w:val="0"/>
          <w:color w:val="000000"/>
          <w:sz w:val="20"/>
        </w:rPr>
        <w:t>•  beş eğitim tohumuyla koşu-ayrık bir yeniden değerlendirme; böylece birleşimin üstünlüğü tek bir sayı olarak değil, bir belirsizlikle raporlanmaktadır;</w:t>
      </w:r>
    </w:p>
    <w:p>
      <w:pPr>
        <w:pStyle w:val="Paragraf"/>
        <w:spacing w:before="60" w:after="0"/>
        <w:ind w:left="227"/>
        <w:jc w:val="both"/>
      </w:pPr>
      <w:r>
        <w:rPr>
          <w:rFonts w:ascii="Cambria" w:hAnsi="Cambria" w:cs="Cambria" w:eastAsia="Cambria"/>
          <w:b w:val="0"/>
          <w:i w:val="0"/>
          <w:color w:val="000000"/>
          <w:sz w:val="20"/>
        </w:rPr>
        <w:t>•  fiziksel olarak tutarlı bir arıza enjeksiyon protokolü ve devralınan protokol altında raporlanan birleşim üstünlüğünün bu protokolde ortadan kalktığı ölçümü — kaynağı, fiziksel yayılımından elli bir kat küçük seçilmiş tek bir enjeksiyon genliğidir;</w:t>
      </w:r>
    </w:p>
    <w:p>
      <w:pPr>
        <w:pStyle w:val="Paragraf"/>
        <w:spacing w:before="60" w:after="0"/>
        <w:ind w:left="227"/>
        <w:jc w:val="both"/>
      </w:pPr>
      <w:r>
        <w:rPr>
          <w:rFonts w:ascii="Cambria" w:hAnsi="Cambria" w:cs="Cambria" w:eastAsia="Cambria"/>
          <w:b w:val="0"/>
          <w:i w:val="0"/>
          <w:color w:val="000000"/>
          <w:sz w:val="20"/>
        </w:rPr>
        <w:t>•  çevrimdışı yöntemin tanımlamadığı iki büyüklüğün, birleşim normalleştirmesinin nedensel bir formülasyonu ile birleşik skor için bir çalışma eşiğinin verilmesi ve bunları hücrede yeniden kestiren yordam;</w:t>
      </w:r>
    </w:p>
    <w:p>
      <w:pPr>
        <w:pStyle w:val="Paragraf"/>
        <w:spacing w:before="60" w:after="0"/>
        <w:ind w:left="227"/>
        <w:jc w:val="both"/>
      </w:pPr>
      <w:r>
        <w:rPr>
          <w:rFonts w:ascii="Cambria" w:hAnsi="Cambria" w:cs="Cambria" w:eastAsia="Cambria"/>
          <w:b w:val="0"/>
          <w:i w:val="0"/>
          <w:color w:val="000000"/>
          <w:sz w:val="20"/>
        </w:rPr>
        <w:t>•  öznitelik motoru çevrimdışı hatla — sürtünme terimi dâhil — kayan nokta düzeyinde örtüşen, ölçülmüş gecikme bütçesine sahip gerçek zamanlı bir ROS 2 gerçeklemesi;</w:t>
      </w:r>
    </w:p>
    <w:p>
      <w:pPr>
        <w:pStyle w:val="Paragraf"/>
        <w:spacing w:before="60" w:after="0"/>
        <w:ind w:left="227"/>
        <w:jc w:val="both"/>
      </w:pPr>
      <w:r>
        <w:rPr>
          <w:rFonts w:ascii="Cambria" w:hAnsi="Cambria" w:cs="Cambria" w:eastAsia="Cambria"/>
          <w:b w:val="0"/>
          <w:i w:val="0"/>
          <w:color w:val="000000"/>
          <w:sz w:val="20"/>
        </w:rPr>
        <w:t>•  çevrimdışı türetilen eşiğin taşınmadığının gösterildiği, sebebin modellere değil bir normalleştiriciye dayandırıldığı ve dağıtılan dedektörün operatörce doğrulanmış çarpışmalarla, duyarlılık tabanı açıkça belirtilerek doğrulandığı bir devreye alma raporu;</w:t>
      </w:r>
    </w:p>
    <w:p>
      <w:pPr>
        <w:pStyle w:val="Paragraf"/>
        <w:spacing w:before="60" w:after="0"/>
        <w:ind w:left="227"/>
        <w:jc w:val="both"/>
      </w:pPr>
      <w:r>
        <w:rPr>
          <w:rFonts w:ascii="Cambria" w:hAnsi="Cambria" w:cs="Cambria" w:eastAsia="Cambria"/>
          <w:b w:val="0"/>
          <w:i w:val="0"/>
          <w:color w:val="000000"/>
          <w:sz w:val="20"/>
        </w:rPr>
        <w:t>•  genişletmeden önce yürütülen ve bulguları burada düzeltilen, önceki yayımlanmış sayılara etkisi Bölüm 4.5'te belgelenen bir veri yolu denetimi.</w:t>
      </w:r>
    </w:p>
    <w:p>
      <w:pPr>
        <w:pStyle w:val="Paragraf"/>
        <w:spacing w:before="120" w:after="0"/>
        <w:jc w:val="both"/>
      </w:pPr>
      <w:r>
        <w:rPr>
          <w:rFonts w:ascii="Cambria" w:hAnsi="Cambria" w:cs="Cambria" w:eastAsia="Cambria"/>
          <w:b w:val="0"/>
          <w:i w:val="0"/>
          <w:color w:val="000000"/>
          <w:sz w:val="20"/>
        </w:rPr>
        <w:t>Makalenin kalanı şöyle düzenlenmiştir. Bölüm 2 ilgili literatürü gözden geçirir. Bölüm 3 platformu ve veriyi, genişletilmiş hattı ve çevrimiçi gerçeklemeyi anlatır. Bölüm 4 çevrimdışı ve gerçek hücre bulgularını sunar. Bölüm 5 bunları tartışır, çalışma zarfını ve kısıtları belirtir; Bölüm 6 sonuçlandırır.</w:t>
      </w:r>
    </w:p>
    <w:p>
      <w:pPr>
        <w:pStyle w:val="Balk-1"/>
        <w:keepNext/>
        <w:spacing w:before="240" w:after="40"/>
      </w:pPr>
      <w:r>
        <w:rPr>
          <w:rFonts w:ascii="Cambria" w:hAnsi="Cambria" w:cs="Cambria" w:eastAsia="Cambria"/>
          <w:b/>
          <w:i w:val="0"/>
          <w:color w:val="000000"/>
          <w:sz w:val="20"/>
        </w:rPr>
        <w:t>2. Literatür Taraması</w:t>
      </w:r>
    </w:p>
    <w:p>
      <w:pPr>
        <w:pStyle w:val="Paragraf"/>
        <w:spacing w:before="120" w:after="0"/>
        <w:jc w:val="both"/>
      </w:pPr>
      <w:r>
        <w:rPr>
          <w:rFonts w:ascii="Cambria" w:hAnsi="Cambria" w:cs="Cambria" w:eastAsia="Cambria"/>
          <w:b w:val="0"/>
          <w:i w:val="0"/>
          <w:color w:val="000000"/>
          <w:sz w:val="20"/>
        </w:rPr>
        <w:t>Manipülatörler için fizik tabanlı tespit olgun bir alandır. Haddadin, De Luca ve Albu-Schäffer (2017) çarpışma tespiti, yalıtımı ve tanımlamasını derlemekte ve kalıntı gözlemleyicisini kanonik araç olarak yerleştirmektedir. Li, Han ve Xiong (2020) tabana bir kuvvet/tork algılayıcısı yerleştirip çarpışmayı ortaya çıkan kalıntıdan tespit ederken, Zhang, Chen ve Zou (2024) aynı amaçla dışsal bir tork gözlemleyicisi kullanmaktadır. Katsampiris-Salgado vd. (2024) model hatasının kendisinin sınırlayıcı etken hâline geldiği yüksek yükli işbirlikçi montajı ele almaktadır. Bu ailenin ortak zayıflığı şudur: modelin temsil etmediği her şey — sürtünme, yük, eklem esnekliği — arızadan ayırt edilemez; modelin iyi süzdüğü her şey ise, arıza o olduğunda da süzülüp gider.</w:t>
      </w:r>
    </w:p>
    <w:p>
      <w:pPr>
        <w:pStyle w:val="Paragraf"/>
        <w:spacing w:before="120" w:after="0"/>
        <w:jc w:val="both"/>
      </w:pPr>
      <w:r>
        <w:rPr>
          <w:rFonts w:ascii="Cambria" w:hAnsi="Cambria" w:cs="Cambria" w:eastAsia="Cambria"/>
          <w:b w:val="0"/>
          <w:i w:val="0"/>
          <w:color w:val="000000"/>
          <w:sz w:val="20"/>
        </w:rPr>
        <w:t>Çok değişkenli zaman serileri için veri güdümlü tespit Darban, Webb, Pan, Aggarwal ve Salehi (2024) tarafından derlenmiştir. Yeniden yapılanma temelli özkodlayıcılar baskın tasarımdır: Malhotra, Vig, Shroff ve Agarwal (2015) zaman serisi anomali tespiti için LSTM ağlarını tanıtmış, Malhotra, Ramakrishnan, Anand, Vig, Agarwal ve Shroff (2016) fikri çok algılayıcılı bir kodlayıcı–çözücüye genişletmiştir. Park, Hoshi ve Kemp (2018) robot destekli beslemeye LSTM tabanlı değişimsel bir özkodlayıcı uygulamıştır; bu, fiziksel bir robot üzerinde raporlanan az sayıdaki çalışmadan biridir. Bu yöntemler arıza etiketi gerektirmez, ancak eğitim dağılımının taşıdığı her yanlılığı devralırlar.</w:t>
      </w:r>
    </w:p>
    <w:p>
      <w:pPr>
        <w:pStyle w:val="Paragraf"/>
        <w:spacing w:before="120" w:after="0"/>
        <w:jc w:val="both"/>
      </w:pPr>
      <w:r>
        <w:rPr>
          <w:rFonts w:ascii="Cambria" w:hAnsi="Cambria" w:cs="Cambria" w:eastAsia="Cambria"/>
          <w:b w:val="0"/>
          <w:i w:val="0"/>
          <w:color w:val="000000"/>
          <w:sz w:val="20"/>
        </w:rPr>
        <w:t>Melez yaklaşımlar ikisini birleştirmeye çalışır. Liu vd. (2025) pompa işletimi için bir LSTM özkodlayıcısını mekanizma bilgisiyle kısıtlamakta, ancak iki ayrı modelin skorlarının birleşimini incelememektedir. Huang, Chen, Deng ve Huang (2024) çok değişkenli anomali tespitine, fizik tabanlı hiçbir ön işleme aşaması olmaksızın çizge dikkati ve Transformer uygulamaktadır. Correia, Goos, Klein, Bäck ve Kononova (2024) özellikle çevrimiçi model tabanlı anomali tespitini derlemekte ve eşik seçimi ile durağan olmayan çalışma koşullarını açık araştırma sorunları olarak belirlemektedir — bu makalenin donanım üzerinde ölçtüğü tam da bu iki sorundur.</w:t>
      </w:r>
    </w:p>
    <w:p>
      <w:pPr>
        <w:pStyle w:val="Paragraf"/>
        <w:spacing w:before="120" w:after="0"/>
        <w:jc w:val="both"/>
      </w:pPr>
      <w:r>
        <w:rPr>
          <w:rFonts w:ascii="Cambria" w:hAnsi="Cambria" w:cs="Cambria" w:eastAsia="Cambria"/>
          <w:b w:val="0"/>
          <w:i w:val="0"/>
          <w:color w:val="000000"/>
          <w:sz w:val="20"/>
        </w:rPr>
        <w:t>Benzetimli ya da kayıtlı veri üzerinde kalibre edilmiş bir modelin fiziksel bir robota aktarılması çoğunlukla denetim ve pekiştirmeli öğrenme literatüründe, gerçeklik boşluğu (reality gap) adıyla incelenmiştir (Zhao, Queralta ve Westerlund, 2020). Anomali tespitinde eşdeğer soru — karar eşiği taşınıyor mu? — nadiren sorulur, çünkü çalışmaların çoğu bir çalışma eşiği hiç tanımlamaz; onun yerine tüm eşikler üzerinden ulaşılan en yüksek F1'i raporlar. Bu istatistik, tahmin etmesi gereken etiketleri gerektirir ve dolayısıyla çevrimiçi karşılığı yoktur. Bu çalışma söz konusu boşluğu açık hâle getirmekte, nedensel bir eşik kuralıyla kapatmakta ve kuralın gerçek donanıma uygulandığında ne olduğunu ölçmektedir.</w:t>
      </w:r>
    </w:p>
    <w:p>
      <w:pPr>
        <w:pStyle w:val="Balk-1"/>
        <w:keepNext/>
        <w:spacing w:before="240" w:after="40"/>
      </w:pPr>
      <w:r>
        <w:rPr>
          <w:rFonts w:ascii="Cambria" w:hAnsi="Cambria" w:cs="Cambria" w:eastAsia="Cambria"/>
          <w:b/>
          <w:i w:val="0"/>
          <w:color w:val="000000"/>
          <w:sz w:val="20"/>
        </w:rPr>
        <w:t>3. Yöntem</w:t>
      </w:r>
    </w:p>
    <w:p>
      <w:pPr>
        <w:pStyle w:val="Balk-1"/>
        <w:keepNext/>
        <w:spacing w:before="160" w:after="40"/>
      </w:pPr>
      <w:r>
        <w:rPr>
          <w:rFonts w:ascii="Cambria" w:hAnsi="Cambria" w:cs="Cambria" w:eastAsia="Cambria"/>
          <w:b/>
          <w:i w:val="0"/>
          <w:color w:val="000000"/>
          <w:sz w:val="20"/>
        </w:rPr>
        <w:t>3.1. Platform ve Veri Toplama</w:t>
      </w:r>
    </w:p>
    <w:p>
      <w:pPr>
        <w:pStyle w:val="Paragraf"/>
        <w:spacing w:before="120" w:after="0"/>
        <w:jc w:val="both"/>
      </w:pPr>
      <w:r>
        <w:rPr>
          <w:rFonts w:ascii="Cambria" w:hAnsi="Cambria" w:cs="Cambria" w:eastAsia="Cambria"/>
          <w:b w:val="0"/>
          <w:i w:val="0"/>
          <w:color w:val="000000"/>
          <w:sz w:val="20"/>
        </w:rPr>
        <w:t>Deneyler, Festo doğrusal eksen üzerine monte edilmiş bir Universal Robots UR10e işbirlikçi robotundan (altı eklem, 12,5 kg yük kapasitesi) ve bir muayene şasi çerçevesinden oluşan, Şekil 1'de görülen robotik kalite muayene platformunda yürütülmüştür. Hedef uygulama otomotiv gövde panellerinin otomatik görsel kalite muayenesidir. Uç işlevciye bir kuvvet/tork algılayıcısı (KTS) monte edilmiştir. Hücre ROS 2 Humble ve MoveIt 2 ile çalışmakta, kaydedilen hareketler on bir farklı hareket planlama algoritmasıyla üretilmiştir; böylece normal çalışma dağılımı tek bir planlayıcının hâkimiyetinde değildir.</w:t>
      </w:r>
    </w:p>
    <w:p>
      <w:pPr>
        <w:keepNext/>
        <w:spacing w:before="120" w:after="40"/>
        <w:jc w:val="center"/>
      </w:pPr>
      <w:r>
        <w:drawing>
          <wp:inline xmlns:a="http://schemas.openxmlformats.org/drawingml/2006/main" xmlns:pic="http://schemas.openxmlformats.org/drawingml/2006/picture">
            <wp:extent cx="3006000" cy="3659977"/>
            <wp:docPr id="1" name="Picture 1"/>
            <wp:cNvGraphicFramePr>
              <a:graphicFrameLocks noChangeAspect="1"/>
            </wp:cNvGraphicFramePr>
            <a:graphic>
              <a:graphicData uri="http://schemas.openxmlformats.org/drawingml/2006/picture">
                <pic:pic>
                  <pic:nvPicPr>
                    <pic:cNvPr id="0" name="fig1_platform.png"/>
                    <pic:cNvPicPr/>
                  </pic:nvPicPr>
                  <pic:blipFill>
                    <a:blip r:embed="rId28"/>
                    <a:stretch>
                      <a:fillRect/>
                    </a:stretch>
                  </pic:blipFill>
                  <pic:spPr>
                    <a:xfrm>
                      <a:off x="0" y="0"/>
                      <a:ext cx="3006000" cy="3659977"/>
                    </a:xfrm>
                    <a:prstGeom prst="rect"/>
                  </pic:spPr>
                </pic:pic>
              </a:graphicData>
            </a:graphic>
          </wp:inline>
        </w:drawing>
      </w:r>
    </w:p>
    <w:p>
      <w:pPr>
        <w:spacing w:before="0" w:after="120"/>
        <w:jc w:val="center"/>
      </w:pPr>
      <w:r>
        <w:rPr>
          <w:rFonts w:ascii="Cambria" w:hAnsi="Cambria" w:cs="Cambria" w:eastAsia="Cambria"/>
          <w:b/>
          <w:i w:val="0"/>
          <w:color w:val="000000"/>
          <w:sz w:val="18"/>
        </w:rPr>
        <w:t>Şekil 1.</w:t>
      </w:r>
      <w:r>
        <w:rPr>
          <w:rFonts w:ascii="Cambria" w:hAnsi="Cambria" w:cs="Cambria" w:eastAsia="Cambria"/>
          <w:b w:val="0"/>
          <w:i w:val="0"/>
          <w:color w:val="000000"/>
          <w:sz w:val="18"/>
        </w:rPr>
        <w:t xml:space="preserve"> Robotik Kalite Muayene Platformu</w:t>
      </w:r>
      <w:r>
        <w:rPr>
          <w:rFonts w:ascii="Cambria" w:hAnsi="Cambria" w:cs="Cambria" w:eastAsia="Cambria"/>
          <w:b w:val="0"/>
          <w:i w:val="0"/>
          <w:color w:val="444444"/>
          <w:sz w:val="17"/>
        </w:rPr>
        <w:t xml:space="preserve">  Festo doğrusal eksen üzerindeki UR10e robot, sağda muayene şasi çerçevesi.</w:t>
      </w:r>
    </w:p>
    <w:p>
      <w:pPr>
        <w:pStyle w:val="Paragraf"/>
        <w:spacing w:before="120" w:after="0"/>
        <w:jc w:val="both"/>
      </w:pPr>
      <w:r>
        <w:rPr>
          <w:rFonts w:ascii="Cambria" w:hAnsi="Cambria" w:cs="Cambria" w:eastAsia="Cambria"/>
          <w:b w:val="0"/>
          <w:i w:val="0"/>
          <w:color w:val="000000"/>
          <w:sz w:val="20"/>
        </w:rPr>
        <w:t>Kaynak veri kümesi, eklem durumlarının ve wrench ölçümlerinin 79 günlük bir dışa aktarımıdır; nominal 500 Hz'de 1.124.432 örnek içerir. Model eğitimi Intel Core i7-13650HX işlemcili ve NVIDIA RTX 4060 GPU'lu bir dizüstü bilgisayarda yapılmış, dağıtım iş istasyonu ise 64 GB bellekli Intel Core i9-14900 ve NVIDIA RTX 4000 Ada'dır.</w:t>
      </w:r>
    </w:p>
    <w:p>
      <w:pPr>
        <w:pStyle w:val="Paragraf"/>
        <w:spacing w:before="120" w:after="0"/>
        <w:jc w:val="both"/>
      </w:pPr>
      <w:r>
        <w:rPr>
          <w:rFonts w:ascii="Cambria" w:hAnsi="Cambria" w:cs="Cambria" w:eastAsia="Cambria"/>
          <w:b w:val="0"/>
          <w:i w:val="0"/>
          <w:color w:val="000000"/>
          <w:sz w:val="20"/>
        </w:rPr>
        <w:t>Çalışmada insan denek kullanılmamış ve etik kurul onayı gerekmemiştir. Tüm ölçümler ESOGÜ Akıllı Sistemler Uygulama ve Araştırma Merkezi'nin laboratuvar donanımında toplanmış, araştırma ve yayın etiği ilkelerine uyulmuştur. Devreye alma kampanyasındaki anomaliler, robotun kendi koruyucu durdurma işlevi her an etkin hâldeyken, düşürülmüş hızda ve eğitimli operatörlerce kasten provoke edilmiştir.</w:t>
      </w:r>
    </w:p>
    <w:p>
      <w:pPr>
        <w:pStyle w:val="Balk-1"/>
        <w:keepNext/>
        <w:spacing w:before="160" w:after="40"/>
      </w:pPr>
      <w:r>
        <w:rPr>
          <w:rFonts w:ascii="Cambria" w:hAnsi="Cambria" w:cs="Cambria" w:eastAsia="Cambria"/>
          <w:b/>
          <w:i w:val="0"/>
          <w:color w:val="000000"/>
          <w:sz w:val="20"/>
        </w:rPr>
        <w:t>3.2. Veri İncelemesi ve Hazırlama</w:t>
      </w:r>
    </w:p>
    <w:p>
      <w:pPr>
        <w:pStyle w:val="Paragraf"/>
        <w:spacing w:before="120" w:after="0"/>
        <w:jc w:val="both"/>
      </w:pPr>
      <w:r>
        <w:rPr>
          <w:rFonts w:ascii="Cambria" w:hAnsi="Cambria" w:cs="Cambria" w:eastAsia="Cambria"/>
          <w:b w:val="0"/>
          <w:i w:val="0"/>
          <w:color w:val="000000"/>
          <w:sz w:val="20"/>
        </w:rPr>
        <w:t>Yeniden kurmanın ilk aşaması verinin kendisiydi ve en büyük tekil düzeltmeyi orada üretti. Dışa aktarım zaman damgasına göre genel olarak sıralı değildir. 1.124.432 örnek üzerinde ölçüldüğünde, ardışık çiftlerin 321.841'i (%28,6) süreksizdir; bunların 96.107'sinde zaman adımı negatif ya da sıfırdır. Medyan adım beklenen 2,00 ms olmakla birlikte aralık −5,5·10⁹ ms ile +3,6·10⁹ ms arasında değişmektedir. Kayan pencerelerin dörtte üçü (44.974'ün 33.700'ü, %74,9) bu nedenle saatler ya da günler arayla alınmış iki kayıt oturumunu birbirine eklemektedir.</w:t>
      </w:r>
    </w:p>
    <w:p>
      <w:pPr>
        <w:pStyle w:val="Paragraf"/>
        <w:spacing w:before="120" w:after="0"/>
        <w:jc w:val="both"/>
      </w:pPr>
      <w:r>
        <w:rPr>
          <w:rFonts w:ascii="Cambria" w:hAnsi="Cambria" w:cs="Cambria" w:eastAsia="Cambria"/>
          <w:b w:val="0"/>
          <w:i w:val="0"/>
          <w:color w:val="000000"/>
          <w:sz w:val="20"/>
        </w:rPr>
        <w:t>Bunun iki ayrı sonucu vardır. Bir LSTM özkodlayıcısının öğrenmesi istenen dinamiğin ortasına keyfî bir sıçrama koyar ve eklem ivmesini bozar. İvme, hız kanalından Savitzky–Golay türeviyle (pencere 51, derece 3) elde edilir (Savitzky ve Golay, 1964); bu bir evrişimdir ve bir ek yerinin üzerinden geçtiğinde fiziksel olmayan bir sivri uç üretir. İvme M(q)q̈ terimi üzerinden doğrudan ters dinamiğe girdiği için hata kalıntıya yayılır. Aynı 200.000 örnek üzerinde ölçüldüğünde, ek yerlerinin üzerinden türetilen q̈'nin standart sapması, türev kesintisiz koşuların içinde alındığındakinin iki ilâ altı katıdır.</w:t>
      </w:r>
    </w:p>
    <w:p>
      <w:pPr>
        <w:pStyle w:val="Paragraf"/>
        <w:spacing w:before="120" w:after="0"/>
        <w:jc w:val="both"/>
      </w:pPr>
      <w:r>
        <w:rPr>
          <w:rFonts w:ascii="Cambria" w:hAnsi="Cambria" w:cs="Cambria" w:eastAsia="Cambria"/>
          <w:b w:val="0"/>
          <w:i w:val="0"/>
          <w:color w:val="000000"/>
          <w:sz w:val="20"/>
        </w:rPr>
        <w:t>Düzeltme, dışa aktarımı fiziksel olarak kesintisiz koşulara bölmektir. İki ardışık örnek yalnızca zaman adımı (0, 8 ms] aralığındaysa ve eklem yer değiştirmesi eklem hız sınırının o adımda izin verdiğinin altında kalıyorsa aynı koşuya aittir; ikinci koşul, makul görünen bir zaman damgasının gizlediği boşlukları yakalar. 150 örnekten kısa koşular atılır ve her koşu düzgün bir 2 ms ızgarasına yeniden örneklenir. Tablo 1 sonucu vermektedir. Örnek sayısındaki azalma bir kayıp değildir: atılan örnekler tam olarak aralarında fiziksel süreklilik bulunmayanlardır.</w:t>
      </w:r>
    </w:p>
    <w:p>
      <w:pPr>
        <w:keepNext/>
        <w:spacing w:before="160" w:after="60"/>
        <w:jc w:val="left"/>
      </w:pPr>
      <w:r>
        <w:rPr>
          <w:rFonts w:ascii="Cambria" w:hAnsi="Cambria" w:cs="Cambria" w:eastAsia="Cambria"/>
          <w:b/>
          <w:i w:val="0"/>
          <w:color w:val="000000"/>
          <w:sz w:val="18"/>
        </w:rPr>
        <w:t>Tablo 1.</w:t>
      </w:r>
      <w:r>
        <w:rPr>
          <w:rFonts w:ascii="Cambria" w:hAnsi="Cambria" w:cs="Cambria" w:eastAsia="Cambria"/>
          <w:b w:val="0"/>
          <w:i w:val="0"/>
          <w:color w:val="000000"/>
          <w:sz w:val="18"/>
        </w:rPr>
        <w:t xml:space="preserve"> Veri Hazırlamanın Sonucu.</w:t>
      </w:r>
    </w:p>
    <w:tbl>
      <w:tblPr>
        <w:jc w:val="center"/>
        <w:tblLook w:firstColumn="1" w:firstRow="1" w:lastColumn="0" w:lastRow="0" w:noHBand="0" w:noVBand="1" w:val="04A0"/>
        <w:tblW w:w="4735" w:type="dxa"/>
        <w:tblLayout w:type="fixed"/>
      </w:tblPr>
      <w:tblGrid>
        <w:gridCol w:w="2722"/>
        <w:gridCol w:w="2013"/>
      </w:tblGrid>
      <w:tr>
        <w:tc>
          <w:tcPr>
            <w:tcW w:w="2722"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Büyüklük</w:t>
            </w:r>
          </w:p>
        </w:tc>
        <w:tc>
          <w:tcPr>
            <w:tcW w:w="2013"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Değer</w:t>
            </w:r>
          </w:p>
        </w:tc>
      </w:tr>
      <w:tr>
        <w:tc>
          <w:tcPr>
            <w:tcW w:w="2722" w:type="dxa"/>
            <w:tcBorders>
              <w:top w:val="single" w:sz="4" w:space="0" w:color="000000"/>
              <w:left w:val="nil"/>
              <w:bottom w:val="nil"/>
              <w:right w:val="nil"/>
            </w:tcBorders>
          </w:tcPr>
          <w:p>
            <w:pPr>
              <w:spacing w:before="20" w:after="20"/>
              <w:jc w:val="left"/>
            </w:pPr>
            <w:r>
              <w:rPr>
                <w:rFonts w:ascii="Cambria" w:hAnsi="Cambria" w:cs="Cambria" w:eastAsia="Cambria"/>
                <w:b w:val="0"/>
                <w:i w:val="0"/>
                <w:color w:val="000000"/>
                <w:sz w:val="16"/>
              </w:rPr>
              <w:t>Ham dışa aktarılan örnek</w:t>
            </w:r>
          </w:p>
        </w:tc>
        <w:tc>
          <w:tcPr>
            <w:tcW w:w="2013" w:type="dxa"/>
            <w:tcBorders>
              <w:top w:val="single" w:sz="4" w:space="0" w:color="000000"/>
              <w:left w:val="nil"/>
              <w:bottom w:val="nil"/>
              <w:right w:val="nil"/>
            </w:tcBorders>
          </w:tcPr>
          <w:p>
            <w:pPr>
              <w:spacing w:before="20" w:after="20"/>
              <w:jc w:val="right"/>
            </w:pPr>
            <w:r>
              <w:rPr>
                <w:rFonts w:ascii="Cambria" w:hAnsi="Cambria" w:cs="Cambria" w:eastAsia="Cambria"/>
                <w:b w:val="0"/>
                <w:i w:val="0"/>
                <w:color w:val="000000"/>
                <w:sz w:val="16"/>
              </w:rPr>
              <w:t>1.124.432</w:t>
            </w:r>
          </w:p>
        </w:tc>
      </w:tr>
      <w:tr>
        <w:tc>
          <w:tcPr>
            <w:tcW w:w="2722" w:type="dxa"/>
            <w:tcBorders>
              <w:top w:val="nil"/>
              <w:left w:val="nil"/>
              <w:bottom w:val="nil"/>
              <w:right w:val="nil"/>
            </w:tcBorders>
          </w:tcPr>
          <w:p>
            <w:pPr>
              <w:spacing w:before="20" w:after="20"/>
              <w:jc w:val="left"/>
            </w:pPr>
            <w:r>
              <w:rPr>
                <w:rFonts w:ascii="Cambria" w:hAnsi="Cambria" w:cs="Cambria" w:eastAsia="Cambria"/>
                <w:b w:val="0"/>
                <w:i w:val="0"/>
                <w:color w:val="000000"/>
                <w:sz w:val="16"/>
              </w:rPr>
              <w:t>Fiziksel olarak kesintisiz koşu</w:t>
            </w:r>
          </w:p>
        </w:tc>
        <w:tc>
          <w:tcPr>
            <w:tcW w:w="2013" w:type="dxa"/>
            <w:tcBorders>
              <w:top w:val="nil"/>
              <w:left w:val="nil"/>
              <w:bottom w:val="nil"/>
              <w:right w:val="nil"/>
            </w:tcBorders>
          </w:tcPr>
          <w:p>
            <w:pPr>
              <w:spacing w:before="20" w:after="20"/>
              <w:jc w:val="right"/>
            </w:pPr>
            <w:r>
              <w:rPr>
                <w:rFonts w:ascii="Cambria" w:hAnsi="Cambria" w:cs="Cambria" w:eastAsia="Cambria"/>
                <w:b w:val="0"/>
                <w:i w:val="0"/>
                <w:color w:val="000000"/>
                <w:sz w:val="16"/>
              </w:rPr>
              <w:t>600</w:t>
            </w:r>
          </w:p>
        </w:tc>
      </w:tr>
      <w:tr>
        <w:tc>
          <w:tcPr>
            <w:tcW w:w="2722" w:type="dxa"/>
            <w:tcBorders>
              <w:top w:val="nil"/>
              <w:left w:val="nil"/>
              <w:bottom w:val="nil"/>
              <w:right w:val="nil"/>
            </w:tcBorders>
          </w:tcPr>
          <w:p>
            <w:pPr>
              <w:spacing w:before="20" w:after="20"/>
              <w:jc w:val="left"/>
            </w:pPr>
            <w:r>
              <w:rPr>
                <w:rFonts w:ascii="Cambria" w:hAnsi="Cambria" w:cs="Cambria" w:eastAsia="Cambria"/>
                <w:b w:val="0"/>
                <w:i w:val="0"/>
                <w:color w:val="000000"/>
                <w:sz w:val="16"/>
              </w:rPr>
              <w:t>Hazırlanan örnek</w:t>
            </w:r>
          </w:p>
        </w:tc>
        <w:tc>
          <w:tcPr>
            <w:tcW w:w="2013" w:type="dxa"/>
            <w:tcBorders>
              <w:top w:val="nil"/>
              <w:left w:val="nil"/>
              <w:bottom w:val="nil"/>
              <w:right w:val="nil"/>
            </w:tcBorders>
          </w:tcPr>
          <w:p>
            <w:pPr>
              <w:spacing w:before="20" w:after="20"/>
              <w:jc w:val="right"/>
            </w:pPr>
            <w:r>
              <w:rPr>
                <w:rFonts w:ascii="Cambria" w:hAnsi="Cambria" w:cs="Cambria" w:eastAsia="Cambria"/>
                <w:b w:val="0"/>
                <w:i w:val="0"/>
                <w:color w:val="000000"/>
                <w:sz w:val="16"/>
              </w:rPr>
              <w:t>342.480  (685 s robot zamanı)</w:t>
            </w:r>
          </w:p>
        </w:tc>
      </w:tr>
      <w:tr>
        <w:tc>
          <w:tcPr>
            <w:tcW w:w="2722" w:type="dxa"/>
            <w:tcBorders>
              <w:top w:val="nil"/>
              <w:left w:val="nil"/>
              <w:bottom w:val="nil"/>
              <w:right w:val="nil"/>
            </w:tcBorders>
          </w:tcPr>
          <w:p>
            <w:pPr>
              <w:spacing w:before="20" w:after="20"/>
              <w:jc w:val="left"/>
            </w:pPr>
            <w:r>
              <w:rPr>
                <w:rFonts w:ascii="Cambria" w:hAnsi="Cambria" w:cs="Cambria" w:eastAsia="Cambria"/>
                <w:b w:val="0"/>
                <w:i w:val="0"/>
                <w:color w:val="000000"/>
                <w:sz w:val="16"/>
              </w:rPr>
              <w:t>Aradeğerlenen örnek</w:t>
            </w:r>
          </w:p>
        </w:tc>
        <w:tc>
          <w:tcPr>
            <w:tcW w:w="2013" w:type="dxa"/>
            <w:tcBorders>
              <w:top w:val="nil"/>
              <w:left w:val="nil"/>
              <w:bottom w:val="nil"/>
              <w:right w:val="nil"/>
            </w:tcBorders>
          </w:tcPr>
          <w:p>
            <w:pPr>
              <w:spacing w:before="20" w:after="20"/>
              <w:jc w:val="right"/>
            </w:pPr>
            <w:r>
              <w:rPr>
                <w:rFonts w:ascii="Cambria" w:hAnsi="Cambria" w:cs="Cambria" w:eastAsia="Cambria"/>
                <w:b w:val="0"/>
                <w:i w:val="0"/>
                <w:color w:val="000000"/>
                <w:sz w:val="16"/>
              </w:rPr>
              <w:t>%5,02</w:t>
            </w:r>
          </w:p>
        </w:tc>
      </w:tr>
      <w:tr>
        <w:tc>
          <w:tcPr>
            <w:tcW w:w="2722" w:type="dxa"/>
            <w:tcBorders>
              <w:top w:val="nil"/>
              <w:left w:val="nil"/>
              <w:bottom w:val="single" w:sz="8" w:space="0" w:color="000000"/>
              <w:right w:val="nil"/>
            </w:tcBorders>
          </w:tcPr>
          <w:p>
            <w:pPr>
              <w:spacing w:before="20" w:after="20"/>
              <w:jc w:val="left"/>
            </w:pPr>
            <w:r>
              <w:rPr>
                <w:rFonts w:ascii="Cambria" w:hAnsi="Cambria" w:cs="Cambria" w:eastAsia="Cambria"/>
                <w:b w:val="0"/>
                <w:i w:val="0"/>
                <w:color w:val="000000"/>
                <w:sz w:val="16"/>
              </w:rPr>
              <w:t>Koşu uzunluğu (medyan / min / maks)</w:t>
            </w:r>
          </w:p>
        </w:tc>
        <w:tc>
          <w:tcPr>
            <w:tcW w:w="2013" w:type="dxa"/>
            <w:tcBorders>
              <w:top w:val="nil"/>
              <w:left w:val="nil"/>
              <w:bottom w:val="single" w:sz="8" w:space="0" w:color="000000"/>
              <w:right w:val="nil"/>
            </w:tcBorders>
          </w:tcPr>
          <w:p>
            <w:pPr>
              <w:spacing w:before="20" w:after="20"/>
              <w:jc w:val="right"/>
            </w:pPr>
            <w:r>
              <w:rPr>
                <w:rFonts w:ascii="Cambria" w:hAnsi="Cambria" w:cs="Cambria" w:eastAsia="Cambria"/>
                <w:b w:val="0"/>
                <w:i w:val="0"/>
                <w:color w:val="000000"/>
                <w:sz w:val="16"/>
              </w:rPr>
              <w:t>227 / 155 / 35.860</w:t>
            </w:r>
          </w:p>
        </w:tc>
      </w:tr>
    </w:tbl>
    <w:p>
      <w:pPr>
        <w:spacing w:before="0" w:after="80"/>
      </w:pPr>
    </w:p>
    <w:p>
      <w:pPr>
        <w:pStyle w:val="Balk-1"/>
        <w:keepNext/>
        <w:spacing w:before="160" w:after="40"/>
      </w:pPr>
      <w:r>
        <w:rPr>
          <w:rFonts w:ascii="Cambria" w:hAnsi="Cambria" w:cs="Cambria" w:eastAsia="Cambria"/>
          <w:b/>
          <w:i w:val="0"/>
          <w:color w:val="000000"/>
          <w:sz w:val="20"/>
        </w:rPr>
        <w:t>3.3. Akım–Tork Kalibrasyonu</w:t>
      </w:r>
    </w:p>
    <w:p>
      <w:pPr>
        <w:pStyle w:val="Paragraf"/>
        <w:spacing w:before="120" w:after="0"/>
        <w:jc w:val="both"/>
      </w:pPr>
      <w:r>
        <w:rPr>
          <w:rFonts w:ascii="Cambria" w:hAnsi="Cambria" w:cs="Cambria" w:eastAsia="Cambria"/>
          <w:b w:val="0"/>
          <w:i w:val="0"/>
          <w:color w:val="000000"/>
          <w:sz w:val="20"/>
        </w:rPr>
        <w:t>UR ROS 2 sürücüsü, eklem durumu mesajının effort alanına motor akımını amper cinsinden yazar; alan doğrudan denetleyicinin bildirdiği gerçek akımla doldurulur. Ters dinamik modeli ise newton metre üretir. Denklem (2)'nin kalıntısı oluşturulabilmesi için bu nedenle önce bir dönüşüm katsayısı gereklidir.</w:t>
      </w:r>
    </w:p>
    <w:p>
      <w:pPr>
        <w:pStyle w:val="Paragraf"/>
        <w:spacing w:before="120" w:after="0"/>
        <w:jc w:val="both"/>
        <w:sectPr w:rsidR="006A6232" w:rsidRPr="006A6232" w:rsidSect="00327F76">
          <w:footerReference w:type="default" r:id="rId25"/>
          <w:type w:val="continuous"/>
          <w:pgSz w:w="11906" w:h="16838" w:code="9"/>
          <w:pgMar w:top="1701" w:right="851" w:bottom="1418" w:left="851" w:header="1134" w:footer="851" w:gutter="0"/>
          <w:cols w:num="2" w:space="709" w:equalWidth="1"/>
          <w:docGrid w:linePitch="360"/>
        </w:sectPr>
      </w:pPr>
      <w:r>
        <w:rPr>
          <w:rFonts w:ascii="Cambria" w:hAnsi="Cambria" w:cs="Cambria" w:eastAsia="Cambria"/>
          <w:b w:val="0"/>
          <w:i w:val="0"/>
          <w:color w:val="000000"/>
          <w:sz w:val="20"/>
        </w:rPr>
        <w:t>İlk yeniden kurulumda bu katsayı, ölçülen akımın model torkuna regresyonuyla elde edilmiş ve aynı regresyon tekrarlanarak doğrulanmıştı. Bu doğrulama döngüseldir: katsayı, sonradan sınanan eşitliği sağlayacak biçimde seçilmektedir. Katsayı bu yüzden, sınanan kalıntıdan bağımsız bir kaynaktan yeniden türetilmiştir. Robot neredeyse duruyorken (|q̇| &lt; 0,005 rad/s) eklem torku yerçekimince belirlenir, dolayısıyla g(q) ≈ k·(i − i₀) yazılabilir; burada g(q), denetlenen modelden değil kapalı biçimli yerçekimi vektöründen alınır. 197.090 yarı-statik örneğin 65.697'si regresyona girmiştir. Tablo 2 sonucu listelemektedir.</w:t>
      </w:r>
    </w:p>
    <w:p>
      <w:pPr>
        <w:keepNext/>
        <w:spacing w:before="160" w:after="60"/>
        <w:jc w:val="left"/>
      </w:pPr>
      <w:r>
        <w:rPr>
          <w:rFonts w:ascii="Cambria" w:hAnsi="Cambria" w:cs="Cambria" w:eastAsia="Cambria"/>
          <w:b/>
          <w:i w:val="0"/>
          <w:color w:val="000000"/>
          <w:sz w:val="18"/>
        </w:rPr>
        <w:t>Tablo 2.</w:t>
      </w:r>
      <w:r>
        <w:rPr>
          <w:rFonts w:ascii="Cambria" w:hAnsi="Cambria" w:cs="Cambria" w:eastAsia="Cambria"/>
          <w:b w:val="0"/>
          <w:i w:val="0"/>
          <w:color w:val="000000"/>
          <w:sz w:val="18"/>
        </w:rPr>
        <w:t xml:space="preserve"> Ölçülen Akım–Tork Katsayıları ve Duyarlılıkları.</w:t>
      </w:r>
    </w:p>
    <w:tbl>
      <w:tblPr>
        <w:jc w:val="center"/>
        <w:tblLook w:firstColumn="1" w:firstRow="1" w:lastColumn="0" w:lastRow="0" w:noHBand="0" w:noVBand="1" w:val="04A0"/>
        <w:tblW w:w="10149" w:type="dxa"/>
        <w:tblLayout w:type="fixed"/>
      </w:tblPr>
      <w:tblGrid>
        <w:gridCol w:w="1871"/>
        <w:gridCol w:w="1418"/>
        <w:gridCol w:w="1304"/>
        <w:gridCol w:w="1247"/>
        <w:gridCol w:w="2098"/>
        <w:gridCol w:w="2211"/>
      </w:tblGrid>
      <w:tr>
        <w:tc>
          <w:tcPr>
            <w:tcW w:w="1871"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Eklem</w:t>
            </w:r>
          </w:p>
        </w:tc>
        <w:tc>
          <w:tcPr>
            <w:tcW w:w="1418"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Nm/A</w:t>
            </w:r>
          </w:p>
        </w:tc>
        <w:tc>
          <w:tcPr>
            <w:tcW w:w="1304"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R²</w:t>
            </w:r>
          </w:p>
        </w:tc>
        <w:tc>
          <w:tcPr>
            <w:tcW w:w="1247"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Ölç.</w:t>
            </w:r>
          </w:p>
        </w:tc>
        <w:tc>
          <w:tcPr>
            <w:tcW w:w="2098"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ρ −%50</w:t>
            </w:r>
          </w:p>
        </w:tc>
        <w:tc>
          <w:tcPr>
            <w:tcW w:w="2211"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ρ +%50</w:t>
            </w:r>
          </w:p>
        </w:tc>
      </w:tr>
      <w:tr>
        <w:tc>
          <w:tcPr>
            <w:tcW w:w="1871" w:type="dxa"/>
            <w:tcBorders>
              <w:top w:val="single" w:sz="4" w:space="0" w:color="000000"/>
              <w:left w:val="nil"/>
              <w:bottom w:val="nil"/>
              <w:right w:val="nil"/>
            </w:tcBorders>
          </w:tcPr>
          <w:p>
            <w:pPr>
              <w:spacing w:before="20" w:after="20"/>
              <w:jc w:val="left"/>
            </w:pPr>
            <w:r>
              <w:rPr>
                <w:rFonts w:ascii="Cambria" w:hAnsi="Cambria" w:cs="Cambria" w:eastAsia="Cambria"/>
                <w:b w:val="0"/>
                <w:i w:val="0"/>
                <w:color w:val="000000"/>
                <w:sz w:val="16"/>
              </w:rPr>
              <w:t>shoulder_pan</w:t>
            </w:r>
          </w:p>
        </w:tc>
        <w:tc>
          <w:tcPr>
            <w:tcW w:w="1418" w:type="dxa"/>
            <w:tcBorders>
              <w:top w:val="single" w:sz="4" w:space="0" w:color="000000"/>
              <w:left w:val="nil"/>
              <w:bottom w:val="nil"/>
              <w:right w:val="nil"/>
            </w:tcBorders>
          </w:tcPr>
          <w:p>
            <w:pPr>
              <w:spacing w:before="20" w:after="20"/>
              <w:jc w:val="right"/>
            </w:pPr>
            <w:r>
              <w:rPr>
                <w:rFonts w:ascii="Cambria" w:hAnsi="Cambria" w:cs="Cambria" w:eastAsia="Cambria"/>
                <w:b w:val="0"/>
                <w:i w:val="0"/>
                <w:color w:val="000000"/>
                <w:sz w:val="16"/>
              </w:rPr>
              <w:t>10,522</w:t>
            </w:r>
          </w:p>
        </w:tc>
        <w:tc>
          <w:tcPr>
            <w:tcW w:w="1304" w:type="dxa"/>
            <w:tcBorders>
              <w:top w:val="single" w:sz="4" w:space="0" w:color="000000"/>
              <w:left w:val="nil"/>
              <w:bottom w:val="nil"/>
              <w:right w:val="nil"/>
            </w:tcBorders>
          </w:tcPr>
          <w:p>
            <w:pPr>
              <w:spacing w:before="20" w:after="20"/>
              <w:jc w:val="right"/>
            </w:pPr>
            <w:r>
              <w:rPr>
                <w:rFonts w:ascii="Cambria" w:hAnsi="Cambria" w:cs="Cambria" w:eastAsia="Cambria"/>
                <w:b w:val="0"/>
                <w:i w:val="0"/>
                <w:color w:val="000000"/>
                <w:sz w:val="16"/>
              </w:rPr>
              <w:t>—</w:t>
            </w:r>
          </w:p>
        </w:tc>
        <w:tc>
          <w:tcPr>
            <w:tcW w:w="1247" w:type="dxa"/>
            <w:tcBorders>
              <w:top w:val="single" w:sz="4" w:space="0" w:color="000000"/>
              <w:left w:val="nil"/>
              <w:bottom w:val="nil"/>
              <w:right w:val="nil"/>
            </w:tcBorders>
          </w:tcPr>
          <w:p>
            <w:pPr>
              <w:spacing w:before="20" w:after="20"/>
              <w:jc w:val="left"/>
            </w:pPr>
            <w:r>
              <w:rPr>
                <w:rFonts w:ascii="Cambria" w:hAnsi="Cambria" w:cs="Cambria" w:eastAsia="Cambria"/>
                <w:b w:val="0"/>
                <w:i w:val="0"/>
                <w:color w:val="000000"/>
                <w:sz w:val="16"/>
              </w:rPr>
              <w:t>hayır</w:t>
            </w:r>
          </w:p>
        </w:tc>
        <w:tc>
          <w:tcPr>
            <w:tcW w:w="2098" w:type="dxa"/>
            <w:tcBorders>
              <w:top w:val="single" w:sz="4" w:space="0" w:color="000000"/>
              <w:left w:val="nil"/>
              <w:bottom w:val="nil"/>
              <w:right w:val="nil"/>
            </w:tcBorders>
          </w:tcPr>
          <w:p>
            <w:pPr>
              <w:spacing w:before="20" w:after="20"/>
              <w:jc w:val="right"/>
            </w:pPr>
            <w:r>
              <w:rPr>
                <w:rFonts w:ascii="Cambria" w:hAnsi="Cambria" w:cs="Cambria" w:eastAsia="Cambria"/>
                <w:b w:val="0"/>
                <w:i w:val="0"/>
                <w:color w:val="000000"/>
                <w:sz w:val="16"/>
              </w:rPr>
              <w:t>0,968</w:t>
            </w:r>
          </w:p>
        </w:tc>
        <w:tc>
          <w:tcPr>
            <w:tcW w:w="2211" w:type="dxa"/>
            <w:tcBorders>
              <w:top w:val="single" w:sz="4" w:space="0" w:color="000000"/>
              <w:left w:val="nil"/>
              <w:bottom w:val="nil"/>
              <w:right w:val="nil"/>
            </w:tcBorders>
          </w:tcPr>
          <w:p>
            <w:pPr>
              <w:spacing w:before="20" w:after="20"/>
              <w:jc w:val="right"/>
            </w:pPr>
            <w:r>
              <w:rPr>
                <w:rFonts w:ascii="Cambria" w:hAnsi="Cambria" w:cs="Cambria" w:eastAsia="Cambria"/>
                <w:b w:val="0"/>
                <w:i w:val="0"/>
                <w:color w:val="000000"/>
                <w:sz w:val="16"/>
              </w:rPr>
              <w:t>0,995</w:t>
            </w:r>
          </w:p>
        </w:tc>
      </w:tr>
      <w:tr>
        <w:tc>
          <w:tcPr>
            <w:tcW w:w="1871" w:type="dxa"/>
            <w:tcBorders>
              <w:top w:val="nil"/>
              <w:left w:val="nil"/>
              <w:bottom w:val="nil"/>
              <w:right w:val="nil"/>
            </w:tcBorders>
          </w:tcPr>
          <w:p>
            <w:pPr>
              <w:spacing w:before="20" w:after="20"/>
              <w:jc w:val="left"/>
            </w:pPr>
            <w:r>
              <w:rPr>
                <w:rFonts w:ascii="Cambria" w:hAnsi="Cambria" w:cs="Cambria" w:eastAsia="Cambria"/>
                <w:b w:val="0"/>
                <w:i w:val="0"/>
                <w:color w:val="000000"/>
                <w:sz w:val="16"/>
              </w:rPr>
              <w:t>shoulder_lift</w:t>
            </w:r>
          </w:p>
        </w:tc>
        <w:tc>
          <w:tcPr>
            <w:tcW w:w="1418" w:type="dxa"/>
            <w:tcBorders>
              <w:top w:val="nil"/>
              <w:left w:val="nil"/>
              <w:bottom w:val="nil"/>
              <w:right w:val="nil"/>
            </w:tcBorders>
          </w:tcPr>
          <w:p>
            <w:pPr>
              <w:spacing w:before="20" w:after="20"/>
              <w:jc w:val="right"/>
            </w:pPr>
            <w:r>
              <w:rPr>
                <w:rFonts w:ascii="Cambria" w:hAnsi="Cambria" w:cs="Cambria" w:eastAsia="Cambria"/>
                <w:b w:val="0"/>
                <w:i w:val="0"/>
                <w:color w:val="000000"/>
                <w:sz w:val="16"/>
              </w:rPr>
              <w:t>10,522</w:t>
            </w:r>
          </w:p>
        </w:tc>
        <w:tc>
          <w:tcPr>
            <w:tcW w:w="1304" w:type="dxa"/>
            <w:tcBorders>
              <w:top w:val="nil"/>
              <w:left w:val="nil"/>
              <w:bottom w:val="nil"/>
              <w:right w:val="nil"/>
            </w:tcBorders>
          </w:tcPr>
          <w:p>
            <w:pPr>
              <w:spacing w:before="20" w:after="20"/>
              <w:jc w:val="right"/>
            </w:pPr>
            <w:r>
              <w:rPr>
                <w:rFonts w:ascii="Cambria" w:hAnsi="Cambria" w:cs="Cambria" w:eastAsia="Cambria"/>
                <w:b w:val="0"/>
                <w:i w:val="0"/>
                <w:color w:val="000000"/>
                <w:sz w:val="16"/>
              </w:rPr>
              <w:t>0,984</w:t>
            </w:r>
          </w:p>
        </w:tc>
        <w:tc>
          <w:tcPr>
            <w:tcW w:w="1247" w:type="dxa"/>
            <w:tcBorders>
              <w:top w:val="nil"/>
              <w:left w:val="nil"/>
              <w:bottom w:val="nil"/>
              <w:right w:val="nil"/>
            </w:tcBorders>
          </w:tcPr>
          <w:p>
            <w:pPr>
              <w:spacing w:before="20" w:after="20"/>
              <w:jc w:val="left"/>
            </w:pPr>
            <w:r>
              <w:rPr>
                <w:rFonts w:ascii="Cambria" w:hAnsi="Cambria" w:cs="Cambria" w:eastAsia="Cambria"/>
                <w:b w:val="0"/>
                <w:i w:val="0"/>
                <w:color w:val="000000"/>
                <w:sz w:val="16"/>
              </w:rPr>
              <w:t>evet</w:t>
            </w:r>
          </w:p>
        </w:tc>
        <w:tc>
          <w:tcPr>
            <w:tcW w:w="2098" w:type="dxa"/>
            <w:tcBorders>
              <w:top w:val="nil"/>
              <w:left w:val="nil"/>
              <w:bottom w:val="nil"/>
              <w:right w:val="nil"/>
            </w:tcBorders>
          </w:tcPr>
          <w:p>
            <w:pPr>
              <w:spacing w:before="20" w:after="20"/>
              <w:jc w:val="right"/>
            </w:pPr>
            <w:r>
              <w:rPr>
                <w:rFonts w:ascii="Cambria" w:hAnsi="Cambria" w:cs="Cambria" w:eastAsia="Cambria"/>
                <w:b w:val="0"/>
                <w:i w:val="0"/>
                <w:color w:val="000000"/>
                <w:sz w:val="16"/>
              </w:rPr>
              <w:t>0,162</w:t>
            </w:r>
          </w:p>
        </w:tc>
        <w:tc>
          <w:tcPr>
            <w:tcW w:w="2211" w:type="dxa"/>
            <w:tcBorders>
              <w:top w:val="nil"/>
              <w:left w:val="nil"/>
              <w:bottom w:val="nil"/>
              <w:right w:val="nil"/>
            </w:tcBorders>
          </w:tcPr>
          <w:p>
            <w:pPr>
              <w:spacing w:before="20" w:after="20"/>
              <w:jc w:val="right"/>
            </w:pPr>
            <w:r>
              <w:rPr>
                <w:rFonts w:ascii="Cambria" w:hAnsi="Cambria" w:cs="Cambria" w:eastAsia="Cambria"/>
                <w:b w:val="0"/>
                <w:i w:val="0"/>
                <w:color w:val="000000"/>
                <w:sz w:val="16"/>
              </w:rPr>
              <w:t>0,637</w:t>
            </w:r>
          </w:p>
        </w:tc>
      </w:tr>
      <w:tr>
        <w:tc>
          <w:tcPr>
            <w:tcW w:w="1871" w:type="dxa"/>
            <w:tcBorders>
              <w:top w:val="nil"/>
              <w:left w:val="nil"/>
              <w:bottom w:val="nil"/>
              <w:right w:val="nil"/>
            </w:tcBorders>
          </w:tcPr>
          <w:p>
            <w:pPr>
              <w:spacing w:before="20" w:after="20"/>
              <w:jc w:val="left"/>
            </w:pPr>
            <w:r>
              <w:rPr>
                <w:rFonts w:ascii="Cambria" w:hAnsi="Cambria" w:cs="Cambria" w:eastAsia="Cambria"/>
                <w:b w:val="0"/>
                <w:i w:val="0"/>
                <w:color w:val="000000"/>
                <w:sz w:val="16"/>
              </w:rPr>
              <w:t>elbow</w:t>
            </w:r>
          </w:p>
        </w:tc>
        <w:tc>
          <w:tcPr>
            <w:tcW w:w="1418" w:type="dxa"/>
            <w:tcBorders>
              <w:top w:val="nil"/>
              <w:left w:val="nil"/>
              <w:bottom w:val="nil"/>
              <w:right w:val="nil"/>
            </w:tcBorders>
          </w:tcPr>
          <w:p>
            <w:pPr>
              <w:spacing w:before="20" w:after="20"/>
              <w:jc w:val="right"/>
            </w:pPr>
            <w:r>
              <w:rPr>
                <w:rFonts w:ascii="Cambria" w:hAnsi="Cambria" w:cs="Cambria" w:eastAsia="Cambria"/>
                <w:b w:val="0"/>
                <w:i w:val="0"/>
                <w:color w:val="000000"/>
                <w:sz w:val="16"/>
              </w:rPr>
              <w:t>9,130</w:t>
            </w:r>
          </w:p>
        </w:tc>
        <w:tc>
          <w:tcPr>
            <w:tcW w:w="1304" w:type="dxa"/>
            <w:tcBorders>
              <w:top w:val="nil"/>
              <w:left w:val="nil"/>
              <w:bottom w:val="nil"/>
              <w:right w:val="nil"/>
            </w:tcBorders>
          </w:tcPr>
          <w:p>
            <w:pPr>
              <w:spacing w:before="20" w:after="20"/>
              <w:jc w:val="right"/>
            </w:pPr>
            <w:r>
              <w:rPr>
                <w:rFonts w:ascii="Cambria" w:hAnsi="Cambria" w:cs="Cambria" w:eastAsia="Cambria"/>
                <w:b w:val="0"/>
                <w:i w:val="0"/>
                <w:color w:val="000000"/>
                <w:sz w:val="16"/>
              </w:rPr>
              <w:t>0,993</w:t>
            </w:r>
          </w:p>
        </w:tc>
        <w:tc>
          <w:tcPr>
            <w:tcW w:w="1247" w:type="dxa"/>
            <w:tcBorders>
              <w:top w:val="nil"/>
              <w:left w:val="nil"/>
              <w:bottom w:val="nil"/>
              <w:right w:val="nil"/>
            </w:tcBorders>
          </w:tcPr>
          <w:p>
            <w:pPr>
              <w:spacing w:before="20" w:after="20"/>
              <w:jc w:val="left"/>
            </w:pPr>
            <w:r>
              <w:rPr>
                <w:rFonts w:ascii="Cambria" w:hAnsi="Cambria" w:cs="Cambria" w:eastAsia="Cambria"/>
                <w:b w:val="0"/>
                <w:i w:val="0"/>
                <w:color w:val="000000"/>
                <w:sz w:val="16"/>
              </w:rPr>
              <w:t>evet</w:t>
            </w:r>
          </w:p>
        </w:tc>
        <w:tc>
          <w:tcPr>
            <w:tcW w:w="2098" w:type="dxa"/>
            <w:tcBorders>
              <w:top w:val="nil"/>
              <w:left w:val="nil"/>
              <w:bottom w:val="nil"/>
              <w:right w:val="nil"/>
            </w:tcBorders>
          </w:tcPr>
          <w:p>
            <w:pPr>
              <w:spacing w:before="20" w:after="20"/>
              <w:jc w:val="right"/>
            </w:pPr>
            <w:r>
              <w:rPr>
                <w:rFonts w:ascii="Cambria" w:hAnsi="Cambria" w:cs="Cambria" w:eastAsia="Cambria"/>
                <w:b w:val="0"/>
                <w:i w:val="0"/>
                <w:color w:val="000000"/>
                <w:sz w:val="16"/>
              </w:rPr>
              <w:t>0,023</w:t>
            </w:r>
          </w:p>
        </w:tc>
        <w:tc>
          <w:tcPr>
            <w:tcW w:w="2211" w:type="dxa"/>
            <w:tcBorders>
              <w:top w:val="nil"/>
              <w:left w:val="nil"/>
              <w:bottom w:val="nil"/>
              <w:right w:val="nil"/>
            </w:tcBorders>
          </w:tcPr>
          <w:p>
            <w:pPr>
              <w:spacing w:before="20" w:after="20"/>
              <w:jc w:val="right"/>
            </w:pPr>
            <w:r>
              <w:rPr>
                <w:rFonts w:ascii="Cambria" w:hAnsi="Cambria" w:cs="Cambria" w:eastAsia="Cambria"/>
                <w:b w:val="0"/>
                <w:i w:val="0"/>
                <w:color w:val="000000"/>
                <w:sz w:val="16"/>
              </w:rPr>
              <w:t>0,758</w:t>
            </w:r>
          </w:p>
        </w:tc>
      </w:tr>
      <w:tr>
        <w:tc>
          <w:tcPr>
            <w:tcW w:w="1871" w:type="dxa"/>
            <w:tcBorders>
              <w:top w:val="nil"/>
              <w:left w:val="nil"/>
              <w:bottom w:val="nil"/>
              <w:right w:val="nil"/>
            </w:tcBorders>
          </w:tcPr>
          <w:p>
            <w:pPr>
              <w:spacing w:before="20" w:after="20"/>
              <w:jc w:val="left"/>
            </w:pPr>
            <w:r>
              <w:rPr>
                <w:rFonts w:ascii="Cambria" w:hAnsi="Cambria" w:cs="Cambria" w:eastAsia="Cambria"/>
                <w:b w:val="0"/>
                <w:i w:val="0"/>
                <w:color w:val="000000"/>
                <w:sz w:val="16"/>
              </w:rPr>
              <w:t>wrist_1</w:t>
            </w:r>
          </w:p>
        </w:tc>
        <w:tc>
          <w:tcPr>
            <w:tcW w:w="1418" w:type="dxa"/>
            <w:tcBorders>
              <w:top w:val="nil"/>
              <w:left w:val="nil"/>
              <w:bottom w:val="nil"/>
              <w:right w:val="nil"/>
            </w:tcBorders>
          </w:tcPr>
          <w:p>
            <w:pPr>
              <w:spacing w:before="20" w:after="20"/>
              <w:jc w:val="right"/>
            </w:pPr>
            <w:r>
              <w:rPr>
                <w:rFonts w:ascii="Cambria" w:hAnsi="Cambria" w:cs="Cambria" w:eastAsia="Cambria"/>
                <w:b w:val="0"/>
                <w:i w:val="0"/>
                <w:color w:val="000000"/>
                <w:sz w:val="16"/>
              </w:rPr>
              <w:t>3,409</w:t>
            </w:r>
          </w:p>
        </w:tc>
        <w:tc>
          <w:tcPr>
            <w:tcW w:w="1304" w:type="dxa"/>
            <w:tcBorders>
              <w:top w:val="nil"/>
              <w:left w:val="nil"/>
              <w:bottom w:val="nil"/>
              <w:right w:val="nil"/>
            </w:tcBorders>
          </w:tcPr>
          <w:p>
            <w:pPr>
              <w:spacing w:before="20" w:after="20"/>
              <w:jc w:val="right"/>
            </w:pPr>
            <w:r>
              <w:rPr>
                <w:rFonts w:ascii="Cambria" w:hAnsi="Cambria" w:cs="Cambria" w:eastAsia="Cambria"/>
                <w:b w:val="0"/>
                <w:i w:val="0"/>
                <w:color w:val="000000"/>
                <w:sz w:val="16"/>
              </w:rPr>
              <w:t>0,000</w:t>
            </w:r>
          </w:p>
        </w:tc>
        <w:tc>
          <w:tcPr>
            <w:tcW w:w="1247" w:type="dxa"/>
            <w:tcBorders>
              <w:top w:val="nil"/>
              <w:left w:val="nil"/>
              <w:bottom w:val="nil"/>
              <w:right w:val="nil"/>
            </w:tcBorders>
          </w:tcPr>
          <w:p>
            <w:pPr>
              <w:spacing w:before="20" w:after="20"/>
              <w:jc w:val="left"/>
            </w:pPr>
            <w:r>
              <w:rPr>
                <w:rFonts w:ascii="Cambria" w:hAnsi="Cambria" w:cs="Cambria" w:eastAsia="Cambria"/>
                <w:b w:val="0"/>
                <w:i w:val="0"/>
                <w:color w:val="000000"/>
                <w:sz w:val="16"/>
              </w:rPr>
              <w:t>hayır</w:t>
            </w:r>
          </w:p>
        </w:tc>
        <w:tc>
          <w:tcPr>
            <w:tcW w:w="2098" w:type="dxa"/>
            <w:tcBorders>
              <w:top w:val="nil"/>
              <w:left w:val="nil"/>
              <w:bottom w:val="nil"/>
              <w:right w:val="nil"/>
            </w:tcBorders>
          </w:tcPr>
          <w:p>
            <w:pPr>
              <w:spacing w:before="20" w:after="20"/>
              <w:jc w:val="right"/>
            </w:pPr>
            <w:r>
              <w:rPr>
                <w:rFonts w:ascii="Cambria" w:hAnsi="Cambria" w:cs="Cambria" w:eastAsia="Cambria"/>
                <w:b w:val="0"/>
                <w:i w:val="0"/>
                <w:color w:val="000000"/>
                <w:sz w:val="16"/>
              </w:rPr>
              <w:t>0,890</w:t>
            </w:r>
          </w:p>
        </w:tc>
        <w:tc>
          <w:tcPr>
            <w:tcW w:w="2211" w:type="dxa"/>
            <w:tcBorders>
              <w:top w:val="nil"/>
              <w:left w:val="nil"/>
              <w:bottom w:val="nil"/>
              <w:right w:val="nil"/>
            </w:tcBorders>
          </w:tcPr>
          <w:p>
            <w:pPr>
              <w:spacing w:before="20" w:after="20"/>
              <w:jc w:val="right"/>
            </w:pPr>
            <w:r>
              <w:rPr>
                <w:rFonts w:ascii="Cambria" w:hAnsi="Cambria" w:cs="Cambria" w:eastAsia="Cambria"/>
                <w:b w:val="0"/>
                <w:i w:val="0"/>
                <w:color w:val="000000"/>
                <w:sz w:val="16"/>
              </w:rPr>
              <w:t>0,968</w:t>
            </w:r>
          </w:p>
        </w:tc>
      </w:tr>
      <w:tr>
        <w:tc>
          <w:tcPr>
            <w:tcW w:w="1871" w:type="dxa"/>
            <w:tcBorders>
              <w:top w:val="nil"/>
              <w:left w:val="nil"/>
              <w:bottom w:val="nil"/>
              <w:right w:val="nil"/>
            </w:tcBorders>
          </w:tcPr>
          <w:p>
            <w:pPr>
              <w:spacing w:before="20" w:after="20"/>
              <w:jc w:val="left"/>
            </w:pPr>
            <w:r>
              <w:rPr>
                <w:rFonts w:ascii="Cambria" w:hAnsi="Cambria" w:cs="Cambria" w:eastAsia="Cambria"/>
                <w:b w:val="0"/>
                <w:i w:val="0"/>
                <w:color w:val="000000"/>
                <w:sz w:val="16"/>
              </w:rPr>
              <w:t>wrist_2</w:t>
            </w:r>
          </w:p>
        </w:tc>
        <w:tc>
          <w:tcPr>
            <w:tcW w:w="1418" w:type="dxa"/>
            <w:tcBorders>
              <w:top w:val="nil"/>
              <w:left w:val="nil"/>
              <w:bottom w:val="nil"/>
              <w:right w:val="nil"/>
            </w:tcBorders>
          </w:tcPr>
          <w:p>
            <w:pPr>
              <w:spacing w:before="20" w:after="20"/>
              <w:jc w:val="right"/>
            </w:pPr>
            <w:r>
              <w:rPr>
                <w:rFonts w:ascii="Cambria" w:hAnsi="Cambria" w:cs="Cambria" w:eastAsia="Cambria"/>
                <w:b w:val="0"/>
                <w:i w:val="0"/>
                <w:color w:val="000000"/>
                <w:sz w:val="16"/>
              </w:rPr>
              <w:t>3,409</w:t>
            </w:r>
          </w:p>
        </w:tc>
        <w:tc>
          <w:tcPr>
            <w:tcW w:w="1304" w:type="dxa"/>
            <w:tcBorders>
              <w:top w:val="nil"/>
              <w:left w:val="nil"/>
              <w:bottom w:val="nil"/>
              <w:right w:val="nil"/>
            </w:tcBorders>
          </w:tcPr>
          <w:p>
            <w:pPr>
              <w:spacing w:before="20" w:after="20"/>
              <w:jc w:val="right"/>
            </w:pPr>
            <w:r>
              <w:rPr>
                <w:rFonts w:ascii="Cambria" w:hAnsi="Cambria" w:cs="Cambria" w:eastAsia="Cambria"/>
                <w:b w:val="0"/>
                <w:i w:val="0"/>
                <w:color w:val="000000"/>
                <w:sz w:val="16"/>
              </w:rPr>
              <w:t>0,012</w:t>
            </w:r>
          </w:p>
        </w:tc>
        <w:tc>
          <w:tcPr>
            <w:tcW w:w="1247" w:type="dxa"/>
            <w:tcBorders>
              <w:top w:val="nil"/>
              <w:left w:val="nil"/>
              <w:bottom w:val="nil"/>
              <w:right w:val="nil"/>
            </w:tcBorders>
          </w:tcPr>
          <w:p>
            <w:pPr>
              <w:spacing w:before="20" w:after="20"/>
              <w:jc w:val="left"/>
            </w:pPr>
            <w:r>
              <w:rPr>
                <w:rFonts w:ascii="Cambria" w:hAnsi="Cambria" w:cs="Cambria" w:eastAsia="Cambria"/>
                <w:b w:val="0"/>
                <w:i w:val="0"/>
                <w:color w:val="000000"/>
                <w:sz w:val="16"/>
              </w:rPr>
              <w:t>hayır</w:t>
            </w:r>
          </w:p>
        </w:tc>
        <w:tc>
          <w:tcPr>
            <w:tcW w:w="2098" w:type="dxa"/>
            <w:tcBorders>
              <w:top w:val="nil"/>
              <w:left w:val="nil"/>
              <w:bottom w:val="nil"/>
              <w:right w:val="nil"/>
            </w:tcBorders>
          </w:tcPr>
          <w:p>
            <w:pPr>
              <w:spacing w:before="20" w:after="20"/>
              <w:jc w:val="right"/>
            </w:pPr>
            <w:r>
              <w:rPr>
                <w:rFonts w:ascii="Cambria" w:hAnsi="Cambria" w:cs="Cambria" w:eastAsia="Cambria"/>
                <w:b w:val="0"/>
                <w:i w:val="0"/>
                <w:color w:val="000000"/>
                <w:sz w:val="16"/>
              </w:rPr>
              <w:t>0,957</w:t>
            </w:r>
          </w:p>
        </w:tc>
        <w:tc>
          <w:tcPr>
            <w:tcW w:w="2211" w:type="dxa"/>
            <w:tcBorders>
              <w:top w:val="nil"/>
              <w:left w:val="nil"/>
              <w:bottom w:val="nil"/>
              <w:right w:val="nil"/>
            </w:tcBorders>
          </w:tcPr>
          <w:p>
            <w:pPr>
              <w:spacing w:before="20" w:after="20"/>
              <w:jc w:val="right"/>
            </w:pPr>
            <w:r>
              <w:rPr>
                <w:rFonts w:ascii="Cambria" w:hAnsi="Cambria" w:cs="Cambria" w:eastAsia="Cambria"/>
                <w:b w:val="0"/>
                <w:i w:val="0"/>
                <w:color w:val="000000"/>
                <w:sz w:val="16"/>
              </w:rPr>
              <w:t>0,993</w:t>
            </w:r>
          </w:p>
        </w:tc>
      </w:tr>
      <w:tr>
        <w:tc>
          <w:tcPr>
            <w:tcW w:w="1871" w:type="dxa"/>
            <w:tcBorders>
              <w:top w:val="nil"/>
              <w:left w:val="nil"/>
              <w:bottom w:val="single" w:sz="8" w:space="0" w:color="000000"/>
              <w:right w:val="nil"/>
            </w:tcBorders>
          </w:tcPr>
          <w:p>
            <w:pPr>
              <w:spacing w:before="20" w:after="20"/>
              <w:jc w:val="left"/>
            </w:pPr>
            <w:r>
              <w:rPr>
                <w:rFonts w:ascii="Cambria" w:hAnsi="Cambria" w:cs="Cambria" w:eastAsia="Cambria"/>
                <w:b w:val="0"/>
                <w:i w:val="0"/>
                <w:color w:val="000000"/>
                <w:sz w:val="16"/>
              </w:rPr>
              <w:t>wrist_3</w:t>
            </w:r>
          </w:p>
        </w:tc>
        <w:tc>
          <w:tcPr>
            <w:tcW w:w="1418" w:type="dxa"/>
            <w:tcBorders>
              <w:top w:val="nil"/>
              <w:left w:val="nil"/>
              <w:bottom w:val="single" w:sz="8" w:space="0" w:color="000000"/>
              <w:right w:val="nil"/>
            </w:tcBorders>
          </w:tcPr>
          <w:p>
            <w:pPr>
              <w:spacing w:before="20" w:after="20"/>
              <w:jc w:val="right"/>
            </w:pPr>
            <w:r>
              <w:rPr>
                <w:rFonts w:ascii="Cambria" w:hAnsi="Cambria" w:cs="Cambria" w:eastAsia="Cambria"/>
                <w:b w:val="0"/>
                <w:i w:val="0"/>
                <w:color w:val="000000"/>
                <w:sz w:val="16"/>
              </w:rPr>
              <w:t>3,409</w:t>
            </w:r>
          </w:p>
        </w:tc>
        <w:tc>
          <w:tcPr>
            <w:tcW w:w="1304" w:type="dxa"/>
            <w:tcBorders>
              <w:top w:val="nil"/>
              <w:left w:val="nil"/>
              <w:bottom w:val="single" w:sz="8" w:space="0" w:color="000000"/>
              <w:right w:val="nil"/>
            </w:tcBorders>
          </w:tcPr>
          <w:p>
            <w:pPr>
              <w:spacing w:before="20" w:after="20"/>
              <w:jc w:val="right"/>
            </w:pPr>
            <w:r>
              <w:rPr>
                <w:rFonts w:ascii="Cambria" w:hAnsi="Cambria" w:cs="Cambria" w:eastAsia="Cambria"/>
                <w:b w:val="0"/>
                <w:i w:val="0"/>
                <w:color w:val="000000"/>
                <w:sz w:val="16"/>
              </w:rPr>
              <w:t>0,010</w:t>
            </w:r>
          </w:p>
        </w:tc>
        <w:tc>
          <w:tcPr>
            <w:tcW w:w="1247" w:type="dxa"/>
            <w:tcBorders>
              <w:top w:val="nil"/>
              <w:left w:val="nil"/>
              <w:bottom w:val="single" w:sz="8" w:space="0" w:color="000000"/>
              <w:right w:val="nil"/>
            </w:tcBorders>
          </w:tcPr>
          <w:p>
            <w:pPr>
              <w:spacing w:before="20" w:after="20"/>
              <w:jc w:val="left"/>
            </w:pPr>
            <w:r>
              <w:rPr>
                <w:rFonts w:ascii="Cambria" w:hAnsi="Cambria" w:cs="Cambria" w:eastAsia="Cambria"/>
                <w:b w:val="0"/>
                <w:i w:val="0"/>
                <w:color w:val="000000"/>
                <w:sz w:val="16"/>
              </w:rPr>
              <w:t>hayır</w:t>
            </w:r>
          </w:p>
        </w:tc>
        <w:tc>
          <w:tcPr>
            <w:tcW w:w="2098" w:type="dxa"/>
            <w:tcBorders>
              <w:top w:val="nil"/>
              <w:left w:val="nil"/>
              <w:bottom w:val="single" w:sz="8" w:space="0" w:color="000000"/>
              <w:right w:val="nil"/>
            </w:tcBorders>
          </w:tcPr>
          <w:p>
            <w:pPr>
              <w:spacing w:before="20" w:after="20"/>
              <w:jc w:val="right"/>
            </w:pPr>
            <w:r>
              <w:rPr>
                <w:rFonts w:ascii="Cambria" w:hAnsi="Cambria" w:cs="Cambria" w:eastAsia="Cambria"/>
                <w:b w:val="0"/>
                <w:i w:val="0"/>
                <w:color w:val="000000"/>
                <w:sz w:val="16"/>
              </w:rPr>
              <w:t>0,994</w:t>
            </w:r>
          </w:p>
        </w:tc>
        <w:tc>
          <w:tcPr>
            <w:tcW w:w="2211" w:type="dxa"/>
            <w:tcBorders>
              <w:top w:val="nil"/>
              <w:left w:val="nil"/>
              <w:bottom w:val="single" w:sz="8" w:space="0" w:color="000000"/>
              <w:right w:val="nil"/>
            </w:tcBorders>
          </w:tcPr>
          <w:p>
            <w:pPr>
              <w:spacing w:before="20" w:after="20"/>
              <w:jc w:val="right"/>
            </w:pPr>
            <w:r>
              <w:rPr>
                <w:rFonts w:ascii="Cambria" w:hAnsi="Cambria" w:cs="Cambria" w:eastAsia="Cambria"/>
                <w:b w:val="0"/>
                <w:i w:val="0"/>
                <w:color w:val="000000"/>
                <w:sz w:val="16"/>
              </w:rPr>
              <w:t>0,999</w:t>
            </w:r>
          </w:p>
        </w:tc>
      </w:tr>
    </w:tbl>
    <w:p>
      <w:pPr>
        <w:spacing w:before="40" w:after="120"/>
        <w:jc w:val="both"/>
        <w:sectPr w:rsidR="006A6232" w:rsidRPr="006A6232" w:rsidSect="00327F76">
          <w:footerReference w:type="default" r:id="rId25"/>
          <w:type w:val="continuous"/>
          <w:pgSz w:w="11906" w:h="16838" w:code="9"/>
          <w:pgMar w:top="1701" w:right="851" w:bottom="1418" w:left="851" w:header="1134" w:footer="851" w:gutter="0"/>
          <w:cols w:space="708"/>
          <w:docGrid w:linePitch="360"/>
        </w:sectPr>
      </w:pPr>
      <w:r>
        <w:rPr>
          <w:rFonts w:ascii="Cambria" w:hAnsi="Cambria" w:cs="Cambria" w:eastAsia="Cambria"/>
          <w:b w:val="0"/>
          <w:i/>
          <w:color w:val="444444"/>
          <w:sz w:val="16"/>
        </w:rPr>
        <w:t>R², yarı-statik yerçekimi regresyonunun R²'sidir; “Ölç.” katsayının doğrudan ölçülebildiği eklemleri işaretler. Son iki sütun, katsayı ∓%50 bozulduğunda yeniden hesaplanan içsel kalıntının nominal olanla korelasyonunu, hazırlanan 342.480 örneğin tamamı üzerinden verir. Ölçülemeyen katsayılar aynı modül ailesinden kopyalanır ya da tork sınırı oranıyla ölçeklenir; düğüm başlangıçta bunlar için uyarı basar.</w:t>
      </w:r>
    </w:p>
    <w:p>
      <w:pPr>
        <w:pStyle w:val="Paragraf"/>
        <w:spacing w:before="120" w:after="0"/>
        <w:jc w:val="both"/>
      </w:pPr>
      <w:r>
        <w:rPr>
          <w:rFonts w:ascii="Cambria" w:hAnsi="Cambria" w:cs="Cambria" w:eastAsia="Cambria"/>
          <w:b w:val="0"/>
          <w:i w:val="0"/>
          <w:color w:val="000000"/>
          <w:sz w:val="20"/>
        </w:rPr>
        <w:t>Varsayılan dört katsayının sonucu tartışılmak yerine ölçülmüştür. Her katsayı ±%50 bozulup içsel kalıntı yeniden hesaplanmıştır; model torku ölçümden ayrı saklandığı için bu, ters dinamiğin yeniden değerlendirilmesini gerektirmez. Katsayısı ölçülemeyen dört eklemde bozma, kalıntıyı biçim olarak neredeyse değiştirmez: nominal kalıntıyla korelasyon 0,890 ile 0,999 arasındadır ve etki, standart sapmanın 0,55 ilâ 1,45 katına değişmesiyle sınırlı, saf bir yeniden ölçeklemeye yakındır. Özkodlayıcılar girdilerini standartlaştırdığından bu biçimde bir dönüşüm öğrenilen dinamiği değiştiremez. Katsayısı ölçülen iki eklemde ise aynı bozma yıkıcıdır: korelasyon −%50'de shoulder_lift için 0,162'ye, elbow için 0,023'e düşer. Asimetrinin kendisi tanısaldır. Akım terimi, modelin iptal etmesi beklenen yerçekimi torkunu taşıdığında yanlış ölçekleme iptali bozar; modelin az katkı verdiği bileklerde ise katsayı yalnızca bir ölçek çarpanı gibi davranır. Varsayılan katsayılar bu nedenle tespit başarımını değil, bir arıza genliğinin newton metre cinsinden fiziksel yorumunu etkiler.</w:t>
      </w:r>
    </w:p>
    <w:p>
      <w:pPr>
        <w:pStyle w:val="Balk-1"/>
        <w:keepNext/>
        <w:spacing w:before="160" w:after="40"/>
      </w:pPr>
      <w:r>
        <w:rPr>
          <w:rFonts w:ascii="Cambria" w:hAnsi="Cambria" w:cs="Cambria" w:eastAsia="Cambria"/>
          <w:b/>
          <w:i w:val="0"/>
          <w:color w:val="000000"/>
          <w:sz w:val="20"/>
        </w:rPr>
        <w:t>3.4. Melez Kalıntı Ayrıştırma ve Sürtünme</w:t>
      </w:r>
    </w:p>
    <w:p>
      <w:pPr>
        <w:pStyle w:val="Paragraf"/>
        <w:spacing w:before="120" w:after="0"/>
        <w:jc w:val="both"/>
      </w:pPr>
      <w:r>
        <w:rPr>
          <w:rFonts w:ascii="Cambria" w:hAnsi="Cambria" w:cs="Cambria" w:eastAsia="Cambria"/>
          <w:b w:val="0"/>
          <w:i w:val="0"/>
          <w:color w:val="000000"/>
          <w:sz w:val="20"/>
        </w:rPr>
        <w:t>Ters dinamik modeli, UR10e'nin Newton–Euler formülasyonunu Fonksiyonel Model Arayüzü biçiminde paketler (Blochwitz vd., 2011):</w:t>
      </w:r>
    </w:p>
    <w:p>
      <w:pPr>
        <w:spacing w:before="0" w:after="0"/>
      </w:pPr>
    </w:p>
    <w:p>
      <w:pPr>
        <w:pStyle w:val="Eitlik"/>
        <w:tabs>
          <w:tab w:pos="4734" w:val="right"/>
        </w:tabs>
        <w:spacing w:before="0" w:after="0"/>
      </w:pPr>
      <w:r>
        <w:rPr>
          <w:rFonts w:ascii="Cambria" w:hAnsi="Cambria" w:cs="Cambria" w:eastAsia="Cambria"/>
          <w:b w:val="0"/>
          <w:i w:val="0"/>
          <w:color w:val="000000"/>
          <w:sz w:val="20"/>
        </w:rPr>
      </w:r>
      <w:r>
        <w:rPr>
          <w:rFonts w:ascii="Cambria" w:hAnsi="Cambria" w:cs="Cambria" w:eastAsia="Cambria"/>
          <w:b w:val="0"/>
          <w:i/>
          <w:color w:val="000000"/>
          <w:sz w:val="20"/>
        </w:rPr>
        <w:t>τ̂_model  =  M(q)·q̈ + C(q, q̇)·q̇ + g(q)</w:t>
      </w:r>
      <w:r>
        <w:rPr>
          <w:rFonts w:ascii="Cambria" w:hAnsi="Cambria" w:cs="Cambria" w:eastAsia="Cambria"/>
          <w:b w:val="0"/>
          <w:i w:val="0"/>
          <w:color w:val="000000"/>
          <w:sz w:val="20"/>
        </w:rPr>
        <w:tab/>
      </w:r>
      <w:r>
        <w:rPr>
          <w:rFonts w:ascii="Cambria" w:hAnsi="Cambria" w:cs="Cambria" w:eastAsia="Cambria"/>
          <w:b w:val="0"/>
          <w:i w:val="0"/>
          <w:color w:val="000000"/>
          <w:sz w:val="20"/>
        </w:rPr>
        <w:t>(1)</w:t>
      </w:r>
    </w:p>
    <w:p>
      <w:pPr>
        <w:spacing w:before="0" w:after="0"/>
      </w:pPr>
    </w:p>
    <w:p>
      <w:pPr>
        <w:pStyle w:val="Paragraf"/>
        <w:spacing w:before="120" w:after="0"/>
        <w:jc w:val="both"/>
      </w:pPr>
      <w:r>
        <w:rPr>
          <w:rFonts w:ascii="Cambria" w:hAnsi="Cambria" w:cs="Cambria" w:eastAsia="Cambria"/>
          <w:b w:val="0"/>
          <w:i w:val="0"/>
          <w:color w:val="000000"/>
          <w:sz w:val="20"/>
        </w:rPr>
        <w:t>Toplam kalıntı ölçüm ile model arasındaki farktır,</w:t>
      </w:r>
    </w:p>
    <w:p>
      <w:pPr>
        <w:spacing w:before="0" w:after="0"/>
      </w:pPr>
    </w:p>
    <w:p>
      <w:pPr>
        <w:pStyle w:val="Eitlik"/>
        <w:tabs>
          <w:tab w:pos="4734" w:val="right"/>
        </w:tabs>
        <w:spacing w:before="0" w:after="0"/>
      </w:pPr>
      <w:r>
        <w:rPr>
          <w:rFonts w:ascii="Cambria" w:hAnsi="Cambria" w:cs="Cambria" w:eastAsia="Cambria"/>
          <w:b w:val="0"/>
          <w:i w:val="0"/>
          <w:color w:val="000000"/>
          <w:sz w:val="20"/>
        </w:rPr>
      </w:r>
      <w:r>
        <w:rPr>
          <w:rFonts w:ascii="Cambria" w:hAnsi="Cambria" w:cs="Cambria" w:eastAsia="Cambria"/>
          <w:b w:val="0"/>
          <w:i/>
          <w:color w:val="000000"/>
          <w:sz w:val="20"/>
        </w:rPr>
        <w:t>r_total  =  τ_ölç − τ̂_model</w:t>
      </w:r>
      <w:r>
        <w:rPr>
          <w:rFonts w:ascii="Cambria" w:hAnsi="Cambria" w:cs="Cambria" w:eastAsia="Cambria"/>
          <w:b w:val="0"/>
          <w:i w:val="0"/>
          <w:color w:val="000000"/>
          <w:sz w:val="20"/>
        </w:rPr>
        <w:tab/>
      </w:r>
      <w:r>
        <w:rPr>
          <w:rFonts w:ascii="Cambria" w:hAnsi="Cambria" w:cs="Cambria" w:eastAsia="Cambria"/>
          <w:b w:val="0"/>
          <w:i w:val="0"/>
          <w:color w:val="000000"/>
          <w:sz w:val="20"/>
        </w:rPr>
        <w:t>(2)</w:t>
      </w:r>
    </w:p>
    <w:p>
      <w:pPr>
        <w:spacing w:before="0" w:after="0"/>
      </w:pPr>
    </w:p>
    <w:p>
      <w:pPr>
        <w:pStyle w:val="Paragraf"/>
        <w:spacing w:before="120" w:after="0"/>
        <w:jc w:val="both"/>
      </w:pPr>
      <w:r>
        <w:rPr>
          <w:rFonts w:ascii="Cambria" w:hAnsi="Cambria" w:cs="Cambria" w:eastAsia="Cambria"/>
          <w:b w:val="0"/>
          <w:i w:val="0"/>
          <w:color w:val="000000"/>
          <w:sz w:val="20"/>
        </w:rPr>
        <w:t>dışsal kalıntı uç işlevci wrench'inin eklem uzayına izdüşümüdür,</w:t>
      </w:r>
    </w:p>
    <w:p>
      <w:pPr>
        <w:spacing w:before="0" w:after="0"/>
      </w:pPr>
    </w:p>
    <w:p>
      <w:pPr>
        <w:pStyle w:val="Eitlik"/>
        <w:tabs>
          <w:tab w:pos="4734" w:val="right"/>
        </w:tabs>
        <w:spacing w:before="0" w:after="0"/>
      </w:pPr>
      <w:r>
        <w:rPr>
          <w:rFonts w:ascii="Cambria" w:hAnsi="Cambria" w:cs="Cambria" w:eastAsia="Cambria"/>
          <w:b w:val="0"/>
          <w:i w:val="0"/>
          <w:color w:val="000000"/>
          <w:sz w:val="20"/>
        </w:rPr>
      </w:r>
      <w:r>
        <w:rPr>
          <w:rFonts w:ascii="Cambria" w:hAnsi="Cambria" w:cs="Cambria" w:eastAsia="Cambria"/>
          <w:b w:val="0"/>
          <w:i/>
          <w:color w:val="000000"/>
          <w:sz w:val="20"/>
        </w:rPr>
        <w:t>r_ext  =  J(q)ᵀ · F_KTS</w:t>
      </w:r>
      <w:r>
        <w:rPr>
          <w:rFonts w:ascii="Cambria" w:hAnsi="Cambria" w:cs="Cambria" w:eastAsia="Cambria"/>
          <w:b w:val="0"/>
          <w:i w:val="0"/>
          <w:color w:val="000000"/>
          <w:sz w:val="20"/>
        </w:rPr>
        <w:tab/>
      </w:r>
      <w:r>
        <w:rPr>
          <w:rFonts w:ascii="Cambria" w:hAnsi="Cambria" w:cs="Cambria" w:eastAsia="Cambria"/>
          <w:b w:val="0"/>
          <w:i w:val="0"/>
          <w:color w:val="000000"/>
          <w:sz w:val="20"/>
        </w:rPr>
        <w:t>(3)</w:t>
      </w:r>
    </w:p>
    <w:p>
      <w:pPr>
        <w:spacing w:before="0" w:after="0"/>
      </w:pPr>
    </w:p>
    <w:p>
      <w:pPr>
        <w:pStyle w:val="Paragraf"/>
        <w:spacing w:before="120" w:after="0"/>
        <w:jc w:val="both"/>
      </w:pPr>
      <w:r>
        <w:rPr>
          <w:rFonts w:ascii="Cambria" w:hAnsi="Cambria" w:cs="Cambria" w:eastAsia="Cambria"/>
          <w:b w:val="0"/>
          <w:i w:val="0"/>
          <w:color w:val="000000"/>
          <w:sz w:val="20"/>
        </w:rPr>
        <w:t>ve içsel kalıntı ikisinin farkıdır,</w:t>
      </w:r>
    </w:p>
    <w:p>
      <w:pPr>
        <w:spacing w:before="0" w:after="0"/>
      </w:pPr>
    </w:p>
    <w:p>
      <w:pPr>
        <w:pStyle w:val="Eitlik"/>
        <w:tabs>
          <w:tab w:pos="4734" w:val="right"/>
        </w:tabs>
        <w:spacing w:before="0" w:after="0"/>
      </w:pPr>
      <w:r>
        <w:rPr>
          <w:rFonts w:ascii="Cambria" w:hAnsi="Cambria" w:cs="Cambria" w:eastAsia="Cambria"/>
          <w:b w:val="0"/>
          <w:i w:val="0"/>
          <w:color w:val="000000"/>
          <w:sz w:val="20"/>
        </w:rPr>
      </w:r>
      <w:r>
        <w:rPr>
          <w:rFonts w:ascii="Cambria" w:hAnsi="Cambria" w:cs="Cambria" w:eastAsia="Cambria"/>
          <w:b w:val="0"/>
          <w:i/>
          <w:color w:val="000000"/>
          <w:sz w:val="20"/>
        </w:rPr>
        <w:t>r_int  =  r_total − r_ext</w:t>
      </w:r>
      <w:r>
        <w:rPr>
          <w:rFonts w:ascii="Cambria" w:hAnsi="Cambria" w:cs="Cambria" w:eastAsia="Cambria"/>
          <w:b w:val="0"/>
          <w:i w:val="0"/>
          <w:color w:val="000000"/>
          <w:sz w:val="20"/>
        </w:rPr>
        <w:tab/>
      </w:r>
      <w:r>
        <w:rPr>
          <w:rFonts w:ascii="Cambria" w:hAnsi="Cambria" w:cs="Cambria" w:eastAsia="Cambria"/>
          <w:b w:val="0"/>
          <w:i w:val="0"/>
          <w:color w:val="000000"/>
          <w:sz w:val="20"/>
        </w:rPr>
        <w:t>(4)</w:t>
      </w:r>
    </w:p>
    <w:p>
      <w:pPr>
        <w:spacing w:before="0" w:after="0"/>
      </w:pPr>
    </w:p>
    <w:p>
      <w:pPr>
        <w:pStyle w:val="Paragraf"/>
        <w:spacing w:before="120" w:after="0"/>
        <w:jc w:val="both"/>
      </w:pPr>
      <w:r>
        <w:rPr>
          <w:rFonts w:ascii="Cambria" w:hAnsi="Cambria" w:cs="Cambria" w:eastAsia="Cambria"/>
          <w:b w:val="0"/>
          <w:i w:val="0"/>
          <w:color w:val="000000"/>
          <w:sz w:val="20"/>
        </w:rPr>
        <w:t>burada M(q) atalet matrisi, C(q, q̇) Coriolis ve merkezkaç matrisi, g(q) yerçekimi vektörü, J(q) geometrik Jacobian, τ_ölç ölçülen eklem torku ve F_KTS ölçülen wrench'tir. Bu ayrıştırma r_int'i motor bozulması ya da gizyazar hatası gibi içsel arızalara, r_ext'i ise çarpışma ya da yük değişimi gibi dış etkileşimlere duyarlı kılar. Denklem (4) bir tanım olduğundan ayrıştırmanın sayısal tutarlılığı doğrudan sınanabilir: 200.000 örnek üzerinde özdeşlik 7,1·10⁻¹⁵ artıkla sağlanmakta ve analitik Jacobian sayısal olanla makine hassasiyetinde örtüşmektedir.</w:t>
      </w:r>
    </w:p>
    <w:p>
      <w:pPr>
        <w:pStyle w:val="Paragraf"/>
        <w:spacing w:before="120" w:after="0"/>
        <w:jc w:val="both"/>
      </w:pPr>
      <w:r>
        <w:rPr>
          <w:rFonts w:ascii="Cambria" w:hAnsi="Cambria" w:cs="Cambria" w:eastAsia="Cambria"/>
          <w:b w:val="0"/>
          <w:i w:val="0"/>
          <w:color w:val="000000"/>
          <w:sz w:val="20"/>
        </w:rPr>
        <w:t>Denklem (3), ihlali hiçbir tanı üretmeyen bir referans çerçevesi uyuşmasını gerektirir. UR e-Serisi sürücüsü wrench'i takım çerçevesine döndürüp takım çerçevesi kimliğiyle yayınlarken, J(q) taban çerçevesinde tanımlıdır. İkisini doğrudan çarpmak, hiçbir hata mesajı olmadan yanlış bir kalıntı üretir. 40.000 örnek üzerinde ölçüldüğünde doğru ve döndürülmemiş dışsal kalıntı arasındaki korelasyon birinci eklemde −0,995'tir — işaret tersine dönmektedir — ve tüm kanallar genelinde −0,143'tür; ikinci eklemde genlik üçe katlanmaktadır. Bu nedenle wrench'in hem kuvvet hem moment yarısı, Jacobian aktarımından önce ve hem çevrimdışı hatta hem çevrimiçi motorda aynı kod yolundan geçerek taban çerçevesine döndürülmektedir.</w:t>
      </w:r>
    </w:p>
    <w:p>
      <w:pPr>
        <w:pStyle w:val="Paragraf"/>
        <w:spacing w:before="120" w:after="0"/>
        <w:jc w:val="both"/>
      </w:pPr>
      <w:r>
        <w:rPr>
          <w:rFonts w:ascii="Cambria" w:hAnsi="Cambria" w:cs="Cambria" w:eastAsia="Cambria"/>
          <w:b w:val="0"/>
          <w:i w:val="0"/>
          <w:color w:val="000000"/>
          <w:sz w:val="20"/>
        </w:rPr>
        <w:t>Çözücünün iki özelliği ölçülmüş ve içinde düzeltilmemiştir. 500 rastgele eklem pozunda atalet matrisi her pozda simetrik değildir ve simetrik kısmı pozitif tanımlı değildir; sürtünme vektörü birebir sıfırdır ve bir yük modeli bulunmamaktadır. Çözücü fiziksel robota karşı doğrulanmış olup sabit kabul edilmektedir. Bedeli bu yüzden gizlenmek yerine ölçülmüştür: wrist_2 ve wrist_3'te model torkunun standart sapması ölçülen torkun yalnızca %10 ve %2'sidir (0,959 ve 1,246 Nm'ye karşılık 0,095 ve 0,030 Nm); dolayısıyla bu iki kanalda Denklem (2) ölçümün kendisine indirgenir.</w:t>
      </w:r>
    </w:p>
    <w:p>
      <w:pPr>
        <w:pStyle w:val="Paragraf"/>
        <w:spacing w:before="120" w:after="0"/>
        <w:jc w:val="both"/>
      </w:pPr>
      <w:r>
        <w:rPr>
          <w:rFonts w:ascii="Cambria" w:hAnsi="Cambria" w:cs="Cambria" w:eastAsia="Cambria"/>
          <w:b w:val="0"/>
          <w:i w:val="0"/>
          <w:color w:val="000000"/>
          <w:sz w:val="20"/>
        </w:rPr>
        <w:t>Eksik sürtünme terimi, doğrulanmış modele dokunmamak için çözücünün içine değil dışına eklenmektedir; bu, redüktörlü bir manipülatörde büyük olan bir bileşeni geri kazandırır. Denklem (2) şu hâle gelir:</w:t>
      </w:r>
    </w:p>
    <w:p>
      <w:pPr>
        <w:spacing w:before="0" w:after="0"/>
      </w:pPr>
    </w:p>
    <w:p>
      <w:pPr>
        <w:pStyle w:val="Eitlik"/>
        <w:tabs>
          <w:tab w:pos="4734" w:val="right"/>
        </w:tabs>
        <w:spacing w:before="0" w:after="0"/>
      </w:pPr>
      <w:r>
        <w:rPr>
          <w:rFonts w:ascii="Cambria" w:hAnsi="Cambria" w:cs="Cambria" w:eastAsia="Cambria"/>
          <w:b w:val="0"/>
          <w:i w:val="0"/>
          <w:color w:val="000000"/>
          <w:sz w:val="20"/>
        </w:rPr>
      </w:r>
      <w:r>
        <w:rPr>
          <w:rFonts w:ascii="Cambria" w:hAnsi="Cambria" w:cs="Cambria" w:eastAsia="Cambria"/>
          <w:b w:val="0"/>
          <w:i/>
          <w:color w:val="000000"/>
          <w:sz w:val="20"/>
        </w:rPr>
        <w:t>r_total  =  τ_ölç − τ̂_model − τ̂_f(q̇)</w:t>
      </w:r>
      <w:r>
        <w:rPr>
          <w:rFonts w:ascii="Cambria" w:hAnsi="Cambria" w:cs="Cambria" w:eastAsia="Cambria"/>
          <w:b w:val="0"/>
          <w:i w:val="0"/>
          <w:color w:val="000000"/>
          <w:sz w:val="20"/>
        </w:rPr>
        <w:tab/>
      </w:r>
      <w:r>
        <w:rPr>
          <w:rFonts w:ascii="Cambria" w:hAnsi="Cambria" w:cs="Cambria" w:eastAsia="Cambria"/>
          <w:b w:val="0"/>
          <w:i w:val="0"/>
          <w:color w:val="000000"/>
          <w:sz w:val="20"/>
        </w:rPr>
        <w:t>(2a)</w:t>
      </w:r>
    </w:p>
    <w:p>
      <w:pPr>
        <w:spacing w:before="0" w:after="0"/>
      </w:pPr>
    </w:p>
    <w:p>
      <w:pPr>
        <w:pStyle w:val="Paragraf"/>
        <w:spacing w:before="120" w:after="0"/>
        <w:jc w:val="both"/>
      </w:pPr>
      <w:r>
        <w:rPr>
          <w:rFonts w:ascii="Cambria" w:hAnsi="Cambria" w:cs="Cambria" w:eastAsia="Cambria"/>
          <w:b w:val="0"/>
          <w:i w:val="0"/>
          <w:color w:val="000000"/>
          <w:sz w:val="20"/>
        </w:rPr>
        <w:t>eklem başına iki parametreli Coulomb+viskoz bir terimle,</w:t>
      </w:r>
    </w:p>
    <w:p>
      <w:pPr>
        <w:spacing w:before="0" w:after="0"/>
      </w:pPr>
    </w:p>
    <w:p>
      <w:pPr>
        <w:pStyle w:val="Eitlik"/>
        <w:tabs>
          <w:tab w:pos="4734" w:val="right"/>
        </w:tabs>
        <w:spacing w:before="0" w:after="0"/>
      </w:pPr>
      <w:r>
        <w:rPr>
          <w:rFonts w:ascii="Cambria" w:hAnsi="Cambria" w:cs="Cambria" w:eastAsia="Cambria"/>
          <w:b w:val="0"/>
          <w:i w:val="0"/>
          <w:color w:val="000000"/>
          <w:sz w:val="20"/>
        </w:rPr>
      </w:r>
      <w:r>
        <w:rPr>
          <w:rFonts w:ascii="Cambria" w:hAnsi="Cambria" w:cs="Cambria" w:eastAsia="Cambria"/>
          <w:b w:val="0"/>
          <w:i/>
          <w:color w:val="000000"/>
          <w:sz w:val="20"/>
        </w:rPr>
        <w:t>τ̂_f  =  F_c · tanh(q̇ / ε) + F_v · q̇</w:t>
      </w:r>
      <w:r>
        <w:rPr>
          <w:rFonts w:ascii="Cambria" w:hAnsi="Cambria" w:cs="Cambria" w:eastAsia="Cambria"/>
          <w:b w:val="0"/>
          <w:i w:val="0"/>
          <w:color w:val="000000"/>
          <w:sz w:val="20"/>
        </w:rPr>
        <w:tab/>
      </w:r>
      <w:r>
        <w:rPr>
          <w:rFonts w:ascii="Cambria" w:hAnsi="Cambria" w:cs="Cambria" w:eastAsia="Cambria"/>
          <w:b w:val="0"/>
          <w:i w:val="0"/>
          <w:color w:val="000000"/>
          <w:sz w:val="20"/>
        </w:rPr>
        <w:t>(2b)</w:t>
      </w:r>
    </w:p>
    <w:p>
      <w:pPr>
        <w:spacing w:before="0" w:after="0"/>
      </w:pPr>
    </w:p>
    <w:p>
      <w:pPr>
        <w:pStyle w:val="Paragraf"/>
        <w:spacing w:before="120" w:after="0"/>
        <w:jc w:val="both"/>
        <w:sectPr w:rsidR="006A6232" w:rsidRPr="006A6232" w:rsidSect="00327F76">
          <w:footerReference w:type="default" r:id="rId25"/>
          <w:type w:val="continuous"/>
          <w:pgSz w:w="11906" w:h="16838" w:code="9"/>
          <w:pgMar w:top="1701" w:right="851" w:bottom="1418" w:left="851" w:header="1134" w:footer="851" w:gutter="0"/>
          <w:cols w:num="2" w:space="709" w:equalWidth="1"/>
          <w:docGrid w:linePitch="360"/>
        </w:sectPr>
      </w:pPr>
      <w:r>
        <w:rPr>
          <w:rFonts w:ascii="Cambria" w:hAnsi="Cambria" w:cs="Cambria" w:eastAsia="Cambria"/>
          <w:b w:val="0"/>
          <w:i w:val="0"/>
          <w:color w:val="000000"/>
          <w:sz w:val="20"/>
        </w:rPr>
        <w:t>burada tanh, işaret fonksiyonunun yerini almaktadır; çünkü sign(q̇) sıfır geçişlerinde süreksizdir ve bu robot zamanının çoğunu düşük hızda geçirir. Keskin bir işaret, her yön değişiminde kalıntıya bir basamak enjekte eder — ki bu tam olarak bir dedektörün işaretlemesi beklenen biçimdir. Yumuşatma genişliği ε = 0,02 rad/s'dir. Katsayılar sağlam en küçük kareler yöntemiyle (üç yinelemeli 3σ kırpma), yalnızca hareket eden örnekler üzerinde ve — değerlendirme açısından belirleyici olarak — yalnızca Bölüm 3.7'de tanımlanan bölmenin eğitim koşularında uydurulmuştur. Tüm veri üzerinde uydurmak, düzeltmenin kendisini bir sızıntı kanalı hâline getirirdi. Tablo 3 sonucu listelemektedir.</w:t>
      </w:r>
    </w:p>
    <w:p>
      <w:pPr>
        <w:keepNext/>
        <w:spacing w:before="160" w:after="60"/>
        <w:jc w:val="left"/>
      </w:pPr>
      <w:r>
        <w:rPr>
          <w:rFonts w:ascii="Cambria" w:hAnsi="Cambria" w:cs="Cambria" w:eastAsia="Cambria"/>
          <w:b/>
          <w:i w:val="0"/>
          <w:color w:val="000000"/>
          <w:sz w:val="18"/>
        </w:rPr>
        <w:t>Tablo 3.</w:t>
      </w:r>
      <w:r>
        <w:rPr>
          <w:rFonts w:ascii="Cambria" w:hAnsi="Cambria" w:cs="Cambria" w:eastAsia="Cambria"/>
          <w:b w:val="0"/>
          <w:i w:val="0"/>
          <w:color w:val="000000"/>
          <w:sz w:val="18"/>
        </w:rPr>
        <w:t xml:space="preserve"> Sürtünme Katsayıları, Yalnız Eğitim Koşularında Uydurulmuş.</w:t>
      </w:r>
    </w:p>
    <w:tbl>
      <w:tblPr>
        <w:jc w:val="center"/>
        <w:tblLook w:firstColumn="1" w:firstRow="1" w:lastColumn="0" w:lastRow="0" w:noHBand="0" w:noVBand="1" w:val="04A0"/>
        <w:tblW w:w="10149" w:type="dxa"/>
        <w:tblLayout w:type="fixed"/>
      </w:tblPr>
      <w:tblGrid>
        <w:gridCol w:w="1823"/>
        <w:gridCol w:w="1276"/>
        <w:gridCol w:w="1762"/>
        <w:gridCol w:w="1155"/>
        <w:gridCol w:w="1519"/>
        <w:gridCol w:w="1459"/>
        <w:gridCol w:w="1155"/>
      </w:tblGrid>
      <w:tr>
        <w:tc>
          <w:tcPr>
            <w:tcW w:w="1823"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Eklem</w:t>
            </w:r>
          </w:p>
        </w:tc>
        <w:tc>
          <w:tcPr>
            <w:tcW w:w="1276"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F_c [Nm]</w:t>
            </w:r>
          </w:p>
        </w:tc>
        <w:tc>
          <w:tcPr>
            <w:tcW w:w="1762"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F_v [Nm·s/rad]</w:t>
            </w:r>
          </w:p>
        </w:tc>
        <w:tc>
          <w:tcPr>
            <w:tcW w:w="1155"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R²</w:t>
            </w:r>
          </w:p>
        </w:tc>
        <w:tc>
          <w:tcPr>
            <w:tcW w:w="1519"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σ(r) önce</w:t>
            </w:r>
          </w:p>
        </w:tc>
        <w:tc>
          <w:tcPr>
            <w:tcW w:w="1459"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σ(r) sonra</w:t>
            </w:r>
          </w:p>
        </w:tc>
        <w:tc>
          <w:tcPr>
            <w:tcW w:w="1155"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Δ</w:t>
            </w:r>
          </w:p>
        </w:tc>
      </w:tr>
      <w:tr>
        <w:tc>
          <w:tcPr>
            <w:tcW w:w="1823" w:type="dxa"/>
            <w:tcBorders>
              <w:top w:val="single" w:sz="4" w:space="0" w:color="000000"/>
              <w:left w:val="nil"/>
              <w:bottom w:val="nil"/>
              <w:right w:val="nil"/>
            </w:tcBorders>
          </w:tcPr>
          <w:p>
            <w:pPr>
              <w:spacing w:before="20" w:after="20"/>
              <w:jc w:val="left"/>
            </w:pPr>
            <w:r>
              <w:rPr>
                <w:rFonts w:ascii="Cambria" w:hAnsi="Cambria" w:cs="Cambria" w:eastAsia="Cambria"/>
                <w:b w:val="0"/>
                <w:i w:val="0"/>
                <w:color w:val="000000"/>
                <w:sz w:val="16"/>
              </w:rPr>
              <w:t>shoulder_pan</w:t>
            </w:r>
          </w:p>
        </w:tc>
        <w:tc>
          <w:tcPr>
            <w:tcW w:w="1276" w:type="dxa"/>
            <w:tcBorders>
              <w:top w:val="single" w:sz="4" w:space="0" w:color="000000"/>
              <w:left w:val="nil"/>
              <w:bottom w:val="nil"/>
              <w:right w:val="nil"/>
            </w:tcBorders>
          </w:tcPr>
          <w:p>
            <w:pPr>
              <w:spacing w:before="20" w:after="20"/>
              <w:jc w:val="right"/>
            </w:pPr>
            <w:r>
              <w:rPr>
                <w:rFonts w:ascii="Cambria" w:hAnsi="Cambria" w:cs="Cambria" w:eastAsia="Cambria"/>
                <w:b w:val="0"/>
                <w:i w:val="0"/>
                <w:color w:val="000000"/>
                <w:sz w:val="16"/>
              </w:rPr>
              <w:t>7,65</w:t>
            </w:r>
          </w:p>
        </w:tc>
        <w:tc>
          <w:tcPr>
            <w:tcW w:w="1762" w:type="dxa"/>
            <w:tcBorders>
              <w:top w:val="single" w:sz="4" w:space="0" w:color="000000"/>
              <w:left w:val="nil"/>
              <w:bottom w:val="nil"/>
              <w:right w:val="nil"/>
            </w:tcBorders>
          </w:tcPr>
          <w:p>
            <w:pPr>
              <w:spacing w:before="20" w:after="20"/>
              <w:jc w:val="right"/>
            </w:pPr>
            <w:r>
              <w:rPr>
                <w:rFonts w:ascii="Cambria" w:hAnsi="Cambria" w:cs="Cambria" w:eastAsia="Cambria"/>
                <w:b w:val="0"/>
                <w:i w:val="0"/>
                <w:color w:val="000000"/>
                <w:sz w:val="16"/>
              </w:rPr>
              <w:t>35,76</w:t>
            </w:r>
          </w:p>
        </w:tc>
        <w:tc>
          <w:tcPr>
            <w:tcW w:w="1155" w:type="dxa"/>
            <w:tcBorders>
              <w:top w:val="single" w:sz="4" w:space="0" w:color="000000"/>
              <w:left w:val="nil"/>
              <w:bottom w:val="nil"/>
              <w:right w:val="nil"/>
            </w:tcBorders>
          </w:tcPr>
          <w:p>
            <w:pPr>
              <w:spacing w:before="20" w:after="20"/>
              <w:jc w:val="right"/>
            </w:pPr>
            <w:r>
              <w:rPr>
                <w:rFonts w:ascii="Cambria" w:hAnsi="Cambria" w:cs="Cambria" w:eastAsia="Cambria"/>
                <w:b w:val="0"/>
                <w:i w:val="0"/>
                <w:color w:val="000000"/>
                <w:sz w:val="16"/>
              </w:rPr>
              <w:t>0,764</w:t>
            </w:r>
          </w:p>
        </w:tc>
        <w:tc>
          <w:tcPr>
            <w:tcW w:w="1519" w:type="dxa"/>
            <w:tcBorders>
              <w:top w:val="single" w:sz="4" w:space="0" w:color="000000"/>
              <w:left w:val="nil"/>
              <w:bottom w:val="nil"/>
              <w:right w:val="nil"/>
            </w:tcBorders>
          </w:tcPr>
          <w:p>
            <w:pPr>
              <w:spacing w:before="20" w:after="20"/>
              <w:jc w:val="right"/>
            </w:pPr>
            <w:r>
              <w:rPr>
                <w:rFonts w:ascii="Cambria" w:hAnsi="Cambria" w:cs="Cambria" w:eastAsia="Cambria"/>
                <w:b w:val="0"/>
                <w:i w:val="0"/>
                <w:color w:val="000000"/>
                <w:sz w:val="16"/>
              </w:rPr>
              <w:t>13,20</w:t>
            </w:r>
          </w:p>
        </w:tc>
        <w:tc>
          <w:tcPr>
            <w:tcW w:w="1459" w:type="dxa"/>
            <w:tcBorders>
              <w:top w:val="single" w:sz="4" w:space="0" w:color="000000"/>
              <w:left w:val="nil"/>
              <w:bottom w:val="nil"/>
              <w:right w:val="nil"/>
            </w:tcBorders>
          </w:tcPr>
          <w:p>
            <w:pPr>
              <w:spacing w:before="20" w:after="20"/>
              <w:jc w:val="right"/>
            </w:pPr>
            <w:r>
              <w:rPr>
                <w:rFonts w:ascii="Cambria" w:hAnsi="Cambria" w:cs="Cambria" w:eastAsia="Cambria"/>
                <w:b w:val="0"/>
                <w:i w:val="0"/>
                <w:color w:val="000000"/>
                <w:sz w:val="16"/>
              </w:rPr>
              <w:t>6,09</w:t>
            </w:r>
          </w:p>
        </w:tc>
        <w:tc>
          <w:tcPr>
            <w:tcW w:w="1155" w:type="dxa"/>
            <w:tcBorders>
              <w:top w:val="single" w:sz="4" w:space="0" w:color="000000"/>
              <w:left w:val="nil"/>
              <w:bottom w:val="nil"/>
              <w:right w:val="nil"/>
            </w:tcBorders>
          </w:tcPr>
          <w:p>
            <w:pPr>
              <w:spacing w:before="20" w:after="20"/>
              <w:jc w:val="right"/>
            </w:pPr>
            <w:r>
              <w:rPr>
                <w:rFonts w:ascii="Cambria" w:hAnsi="Cambria" w:cs="Cambria" w:eastAsia="Cambria"/>
                <w:b w:val="0"/>
                <w:i w:val="0"/>
                <w:color w:val="000000"/>
                <w:sz w:val="16"/>
              </w:rPr>
              <w:t>−%54</w:t>
            </w:r>
          </w:p>
        </w:tc>
      </w:tr>
      <w:tr>
        <w:tc>
          <w:tcPr>
            <w:tcW w:w="1823" w:type="dxa"/>
            <w:tcBorders>
              <w:top w:val="nil"/>
              <w:left w:val="nil"/>
              <w:bottom w:val="nil"/>
              <w:right w:val="nil"/>
            </w:tcBorders>
          </w:tcPr>
          <w:p>
            <w:pPr>
              <w:spacing w:before="20" w:after="20"/>
              <w:jc w:val="left"/>
            </w:pPr>
            <w:r>
              <w:rPr>
                <w:rFonts w:ascii="Cambria" w:hAnsi="Cambria" w:cs="Cambria" w:eastAsia="Cambria"/>
                <w:b w:val="0"/>
                <w:i w:val="0"/>
                <w:color w:val="000000"/>
                <w:sz w:val="16"/>
              </w:rPr>
              <w:t>shoulder_lift</w:t>
            </w:r>
          </w:p>
        </w:tc>
        <w:tc>
          <w:tcPr>
            <w:tcW w:w="1276" w:type="dxa"/>
            <w:tcBorders>
              <w:top w:val="nil"/>
              <w:left w:val="nil"/>
              <w:bottom w:val="nil"/>
              <w:right w:val="nil"/>
            </w:tcBorders>
          </w:tcPr>
          <w:p>
            <w:pPr>
              <w:spacing w:before="20" w:after="20"/>
              <w:jc w:val="right"/>
            </w:pPr>
            <w:r>
              <w:rPr>
                <w:rFonts w:ascii="Cambria" w:hAnsi="Cambria" w:cs="Cambria" w:eastAsia="Cambria"/>
                <w:b w:val="0"/>
                <w:i w:val="0"/>
                <w:color w:val="000000"/>
                <w:sz w:val="16"/>
              </w:rPr>
              <w:t>8,78</w:t>
            </w:r>
          </w:p>
        </w:tc>
        <w:tc>
          <w:tcPr>
            <w:tcW w:w="1762" w:type="dxa"/>
            <w:tcBorders>
              <w:top w:val="nil"/>
              <w:left w:val="nil"/>
              <w:bottom w:val="nil"/>
              <w:right w:val="nil"/>
            </w:tcBorders>
          </w:tcPr>
          <w:p>
            <w:pPr>
              <w:spacing w:before="20" w:after="20"/>
              <w:jc w:val="right"/>
            </w:pPr>
            <w:r>
              <w:rPr>
                <w:rFonts w:ascii="Cambria" w:hAnsi="Cambria" w:cs="Cambria" w:eastAsia="Cambria"/>
                <w:b w:val="0"/>
                <w:i w:val="0"/>
                <w:color w:val="000000"/>
                <w:sz w:val="16"/>
              </w:rPr>
              <w:t>26,19</w:t>
            </w:r>
          </w:p>
        </w:tc>
        <w:tc>
          <w:tcPr>
            <w:tcW w:w="1155" w:type="dxa"/>
            <w:tcBorders>
              <w:top w:val="nil"/>
              <w:left w:val="nil"/>
              <w:bottom w:val="nil"/>
              <w:right w:val="nil"/>
            </w:tcBorders>
          </w:tcPr>
          <w:p>
            <w:pPr>
              <w:spacing w:before="20" w:after="20"/>
              <w:jc w:val="right"/>
            </w:pPr>
            <w:r>
              <w:rPr>
                <w:rFonts w:ascii="Cambria" w:hAnsi="Cambria" w:cs="Cambria" w:eastAsia="Cambria"/>
                <w:b w:val="0"/>
                <w:i w:val="0"/>
                <w:color w:val="000000"/>
                <w:sz w:val="16"/>
              </w:rPr>
              <w:t>0,799</w:t>
            </w:r>
          </w:p>
        </w:tc>
        <w:tc>
          <w:tcPr>
            <w:tcW w:w="1519" w:type="dxa"/>
            <w:tcBorders>
              <w:top w:val="nil"/>
              <w:left w:val="nil"/>
              <w:bottom w:val="nil"/>
              <w:right w:val="nil"/>
            </w:tcBorders>
          </w:tcPr>
          <w:p>
            <w:pPr>
              <w:spacing w:before="20" w:after="20"/>
              <w:jc w:val="right"/>
            </w:pPr>
            <w:r>
              <w:rPr>
                <w:rFonts w:ascii="Cambria" w:hAnsi="Cambria" w:cs="Cambria" w:eastAsia="Cambria"/>
                <w:b w:val="0"/>
                <w:i w:val="0"/>
                <w:color w:val="000000"/>
                <w:sz w:val="16"/>
              </w:rPr>
              <w:t>11,91</w:t>
            </w:r>
          </w:p>
        </w:tc>
        <w:tc>
          <w:tcPr>
            <w:tcW w:w="1459" w:type="dxa"/>
            <w:tcBorders>
              <w:top w:val="nil"/>
              <w:left w:val="nil"/>
              <w:bottom w:val="nil"/>
              <w:right w:val="nil"/>
            </w:tcBorders>
          </w:tcPr>
          <w:p>
            <w:pPr>
              <w:spacing w:before="20" w:after="20"/>
              <w:jc w:val="right"/>
            </w:pPr>
            <w:r>
              <w:rPr>
                <w:rFonts w:ascii="Cambria" w:hAnsi="Cambria" w:cs="Cambria" w:eastAsia="Cambria"/>
                <w:b w:val="0"/>
                <w:i w:val="0"/>
                <w:color w:val="000000"/>
                <w:sz w:val="16"/>
              </w:rPr>
              <w:t>4,98</w:t>
            </w:r>
          </w:p>
        </w:tc>
        <w:tc>
          <w:tcPr>
            <w:tcW w:w="1155" w:type="dxa"/>
            <w:tcBorders>
              <w:top w:val="nil"/>
              <w:left w:val="nil"/>
              <w:bottom w:val="nil"/>
              <w:right w:val="nil"/>
            </w:tcBorders>
          </w:tcPr>
          <w:p>
            <w:pPr>
              <w:spacing w:before="20" w:after="20"/>
              <w:jc w:val="right"/>
            </w:pPr>
            <w:r>
              <w:rPr>
                <w:rFonts w:ascii="Cambria" w:hAnsi="Cambria" w:cs="Cambria" w:eastAsia="Cambria"/>
                <w:b w:val="0"/>
                <w:i w:val="0"/>
                <w:color w:val="000000"/>
                <w:sz w:val="16"/>
              </w:rPr>
              <w:t>−%58</w:t>
            </w:r>
          </w:p>
        </w:tc>
      </w:tr>
      <w:tr>
        <w:tc>
          <w:tcPr>
            <w:tcW w:w="1823" w:type="dxa"/>
            <w:tcBorders>
              <w:top w:val="nil"/>
              <w:left w:val="nil"/>
              <w:bottom w:val="nil"/>
              <w:right w:val="nil"/>
            </w:tcBorders>
          </w:tcPr>
          <w:p>
            <w:pPr>
              <w:spacing w:before="20" w:after="20"/>
              <w:jc w:val="left"/>
            </w:pPr>
            <w:r>
              <w:rPr>
                <w:rFonts w:ascii="Cambria" w:hAnsi="Cambria" w:cs="Cambria" w:eastAsia="Cambria"/>
                <w:b w:val="0"/>
                <w:i w:val="0"/>
                <w:color w:val="000000"/>
                <w:sz w:val="16"/>
              </w:rPr>
              <w:t>elbow</w:t>
            </w:r>
          </w:p>
        </w:tc>
        <w:tc>
          <w:tcPr>
            <w:tcW w:w="1276" w:type="dxa"/>
            <w:tcBorders>
              <w:top w:val="nil"/>
              <w:left w:val="nil"/>
              <w:bottom w:val="nil"/>
              <w:right w:val="nil"/>
            </w:tcBorders>
          </w:tcPr>
          <w:p>
            <w:pPr>
              <w:spacing w:before="20" w:after="20"/>
              <w:jc w:val="right"/>
            </w:pPr>
            <w:r>
              <w:rPr>
                <w:rFonts w:ascii="Cambria" w:hAnsi="Cambria" w:cs="Cambria" w:eastAsia="Cambria"/>
                <w:b w:val="0"/>
                <w:i w:val="0"/>
                <w:color w:val="000000"/>
                <w:sz w:val="16"/>
              </w:rPr>
              <w:t>5,53</w:t>
            </w:r>
          </w:p>
        </w:tc>
        <w:tc>
          <w:tcPr>
            <w:tcW w:w="1762" w:type="dxa"/>
            <w:tcBorders>
              <w:top w:val="nil"/>
              <w:left w:val="nil"/>
              <w:bottom w:val="nil"/>
              <w:right w:val="nil"/>
            </w:tcBorders>
          </w:tcPr>
          <w:p>
            <w:pPr>
              <w:spacing w:before="20" w:after="20"/>
              <w:jc w:val="right"/>
            </w:pPr>
            <w:r>
              <w:rPr>
                <w:rFonts w:ascii="Cambria" w:hAnsi="Cambria" w:cs="Cambria" w:eastAsia="Cambria"/>
                <w:b w:val="0"/>
                <w:i w:val="0"/>
                <w:color w:val="000000"/>
                <w:sz w:val="16"/>
              </w:rPr>
              <w:t>19,97</w:t>
            </w:r>
          </w:p>
        </w:tc>
        <w:tc>
          <w:tcPr>
            <w:tcW w:w="1155" w:type="dxa"/>
            <w:tcBorders>
              <w:top w:val="nil"/>
              <w:left w:val="nil"/>
              <w:bottom w:val="nil"/>
              <w:right w:val="nil"/>
            </w:tcBorders>
          </w:tcPr>
          <w:p>
            <w:pPr>
              <w:spacing w:before="20" w:after="20"/>
              <w:jc w:val="right"/>
            </w:pPr>
            <w:r>
              <w:rPr>
                <w:rFonts w:ascii="Cambria" w:hAnsi="Cambria" w:cs="Cambria" w:eastAsia="Cambria"/>
                <w:b w:val="0"/>
                <w:i w:val="0"/>
                <w:color w:val="000000"/>
                <w:sz w:val="16"/>
              </w:rPr>
              <w:t>0,896</w:t>
            </w:r>
          </w:p>
        </w:tc>
        <w:tc>
          <w:tcPr>
            <w:tcW w:w="1519" w:type="dxa"/>
            <w:tcBorders>
              <w:top w:val="nil"/>
              <w:left w:val="nil"/>
              <w:bottom w:val="nil"/>
              <w:right w:val="nil"/>
            </w:tcBorders>
          </w:tcPr>
          <w:p>
            <w:pPr>
              <w:spacing w:before="20" w:after="20"/>
              <w:jc w:val="right"/>
            </w:pPr>
            <w:r>
              <w:rPr>
                <w:rFonts w:ascii="Cambria" w:hAnsi="Cambria" w:cs="Cambria" w:eastAsia="Cambria"/>
                <w:b w:val="0"/>
                <w:i w:val="0"/>
                <w:color w:val="000000"/>
                <w:sz w:val="16"/>
              </w:rPr>
              <w:t>7,66</w:t>
            </w:r>
          </w:p>
        </w:tc>
        <w:tc>
          <w:tcPr>
            <w:tcW w:w="1459" w:type="dxa"/>
            <w:tcBorders>
              <w:top w:val="nil"/>
              <w:left w:val="nil"/>
              <w:bottom w:val="nil"/>
              <w:right w:val="nil"/>
            </w:tcBorders>
          </w:tcPr>
          <w:p>
            <w:pPr>
              <w:spacing w:before="20" w:after="20"/>
              <w:jc w:val="right"/>
            </w:pPr>
            <w:r>
              <w:rPr>
                <w:rFonts w:ascii="Cambria" w:hAnsi="Cambria" w:cs="Cambria" w:eastAsia="Cambria"/>
                <w:b w:val="0"/>
                <w:i w:val="0"/>
                <w:color w:val="000000"/>
                <w:sz w:val="16"/>
              </w:rPr>
              <w:t>2,46</w:t>
            </w:r>
          </w:p>
        </w:tc>
        <w:tc>
          <w:tcPr>
            <w:tcW w:w="1155" w:type="dxa"/>
            <w:tcBorders>
              <w:top w:val="nil"/>
              <w:left w:val="nil"/>
              <w:bottom w:val="nil"/>
              <w:right w:val="nil"/>
            </w:tcBorders>
          </w:tcPr>
          <w:p>
            <w:pPr>
              <w:spacing w:before="20" w:after="20"/>
              <w:jc w:val="right"/>
            </w:pPr>
            <w:r>
              <w:rPr>
                <w:rFonts w:ascii="Cambria" w:hAnsi="Cambria" w:cs="Cambria" w:eastAsia="Cambria"/>
                <w:b w:val="0"/>
                <w:i w:val="0"/>
                <w:color w:val="000000"/>
                <w:sz w:val="16"/>
              </w:rPr>
              <w:t>−%68</w:t>
            </w:r>
          </w:p>
        </w:tc>
      </w:tr>
      <w:tr>
        <w:tc>
          <w:tcPr>
            <w:tcW w:w="1823" w:type="dxa"/>
            <w:tcBorders>
              <w:top w:val="nil"/>
              <w:left w:val="nil"/>
              <w:bottom w:val="nil"/>
              <w:right w:val="nil"/>
            </w:tcBorders>
          </w:tcPr>
          <w:p>
            <w:pPr>
              <w:spacing w:before="20" w:after="20"/>
              <w:jc w:val="left"/>
            </w:pPr>
            <w:r>
              <w:rPr>
                <w:rFonts w:ascii="Cambria" w:hAnsi="Cambria" w:cs="Cambria" w:eastAsia="Cambria"/>
                <w:b w:val="0"/>
                <w:i w:val="0"/>
                <w:color w:val="000000"/>
                <w:sz w:val="16"/>
              </w:rPr>
              <w:t>wrist_1</w:t>
            </w:r>
          </w:p>
        </w:tc>
        <w:tc>
          <w:tcPr>
            <w:tcW w:w="1276" w:type="dxa"/>
            <w:tcBorders>
              <w:top w:val="nil"/>
              <w:left w:val="nil"/>
              <w:bottom w:val="nil"/>
              <w:right w:val="nil"/>
            </w:tcBorders>
          </w:tcPr>
          <w:p>
            <w:pPr>
              <w:spacing w:before="20" w:after="20"/>
              <w:jc w:val="right"/>
            </w:pPr>
            <w:r>
              <w:rPr>
                <w:rFonts w:ascii="Cambria" w:hAnsi="Cambria" w:cs="Cambria" w:eastAsia="Cambria"/>
                <w:b w:val="0"/>
                <w:i w:val="0"/>
                <w:color w:val="000000"/>
                <w:sz w:val="16"/>
              </w:rPr>
              <w:t>0,95</w:t>
            </w:r>
          </w:p>
        </w:tc>
        <w:tc>
          <w:tcPr>
            <w:tcW w:w="1762" w:type="dxa"/>
            <w:tcBorders>
              <w:top w:val="nil"/>
              <w:left w:val="nil"/>
              <w:bottom w:val="nil"/>
              <w:right w:val="nil"/>
            </w:tcBorders>
          </w:tcPr>
          <w:p>
            <w:pPr>
              <w:spacing w:before="20" w:after="20"/>
              <w:jc w:val="right"/>
            </w:pPr>
            <w:r>
              <w:rPr>
                <w:rFonts w:ascii="Cambria" w:hAnsi="Cambria" w:cs="Cambria" w:eastAsia="Cambria"/>
                <w:b w:val="0"/>
                <w:i w:val="0"/>
                <w:color w:val="000000"/>
                <w:sz w:val="16"/>
              </w:rPr>
              <w:t>1,29</w:t>
            </w:r>
          </w:p>
        </w:tc>
        <w:tc>
          <w:tcPr>
            <w:tcW w:w="1155" w:type="dxa"/>
            <w:tcBorders>
              <w:top w:val="nil"/>
              <w:left w:val="nil"/>
              <w:bottom w:val="nil"/>
              <w:right w:val="nil"/>
            </w:tcBorders>
          </w:tcPr>
          <w:p>
            <w:pPr>
              <w:spacing w:before="20" w:after="20"/>
              <w:jc w:val="right"/>
            </w:pPr>
            <w:r>
              <w:rPr>
                <w:rFonts w:ascii="Cambria" w:hAnsi="Cambria" w:cs="Cambria" w:eastAsia="Cambria"/>
                <w:b w:val="0"/>
                <w:i w:val="0"/>
                <w:color w:val="000000"/>
                <w:sz w:val="16"/>
              </w:rPr>
              <w:t>0,379</w:t>
            </w:r>
          </w:p>
        </w:tc>
        <w:tc>
          <w:tcPr>
            <w:tcW w:w="1519" w:type="dxa"/>
            <w:tcBorders>
              <w:top w:val="nil"/>
              <w:left w:val="nil"/>
              <w:bottom w:val="nil"/>
              <w:right w:val="nil"/>
            </w:tcBorders>
          </w:tcPr>
          <w:p>
            <w:pPr>
              <w:spacing w:before="20" w:after="20"/>
              <w:jc w:val="right"/>
            </w:pPr>
            <w:r>
              <w:rPr>
                <w:rFonts w:ascii="Cambria" w:hAnsi="Cambria" w:cs="Cambria" w:eastAsia="Cambria"/>
                <w:b w:val="0"/>
                <w:i w:val="0"/>
                <w:color w:val="000000"/>
                <w:sz w:val="16"/>
              </w:rPr>
              <w:t>1,41</w:t>
            </w:r>
          </w:p>
        </w:tc>
        <w:tc>
          <w:tcPr>
            <w:tcW w:w="1459" w:type="dxa"/>
            <w:tcBorders>
              <w:top w:val="nil"/>
              <w:left w:val="nil"/>
              <w:bottom w:val="nil"/>
              <w:right w:val="nil"/>
            </w:tcBorders>
          </w:tcPr>
          <w:p>
            <w:pPr>
              <w:spacing w:before="20" w:after="20"/>
              <w:jc w:val="right"/>
            </w:pPr>
            <w:r>
              <w:rPr>
                <w:rFonts w:ascii="Cambria" w:hAnsi="Cambria" w:cs="Cambria" w:eastAsia="Cambria"/>
                <w:b w:val="0"/>
                <w:i w:val="0"/>
                <w:color w:val="000000"/>
                <w:sz w:val="16"/>
              </w:rPr>
              <w:t>0,75</w:t>
            </w:r>
          </w:p>
        </w:tc>
        <w:tc>
          <w:tcPr>
            <w:tcW w:w="1155" w:type="dxa"/>
            <w:tcBorders>
              <w:top w:val="nil"/>
              <w:left w:val="nil"/>
              <w:bottom w:val="nil"/>
              <w:right w:val="nil"/>
            </w:tcBorders>
          </w:tcPr>
          <w:p>
            <w:pPr>
              <w:spacing w:before="20" w:after="20"/>
              <w:jc w:val="right"/>
            </w:pPr>
            <w:r>
              <w:rPr>
                <w:rFonts w:ascii="Cambria" w:hAnsi="Cambria" w:cs="Cambria" w:eastAsia="Cambria"/>
                <w:b w:val="0"/>
                <w:i w:val="0"/>
                <w:color w:val="000000"/>
                <w:sz w:val="16"/>
              </w:rPr>
              <w:t>−%47</w:t>
            </w:r>
          </w:p>
        </w:tc>
      </w:tr>
      <w:tr>
        <w:tc>
          <w:tcPr>
            <w:tcW w:w="1823" w:type="dxa"/>
            <w:tcBorders>
              <w:top w:val="nil"/>
              <w:left w:val="nil"/>
              <w:bottom w:val="nil"/>
              <w:right w:val="nil"/>
            </w:tcBorders>
          </w:tcPr>
          <w:p>
            <w:pPr>
              <w:spacing w:before="20" w:after="20"/>
              <w:jc w:val="left"/>
            </w:pPr>
            <w:r>
              <w:rPr>
                <w:rFonts w:ascii="Cambria" w:hAnsi="Cambria" w:cs="Cambria" w:eastAsia="Cambria"/>
                <w:b w:val="0"/>
                <w:i w:val="0"/>
                <w:color w:val="000000"/>
                <w:sz w:val="16"/>
              </w:rPr>
              <w:t>wrist_2</w:t>
            </w:r>
          </w:p>
        </w:tc>
        <w:tc>
          <w:tcPr>
            <w:tcW w:w="1276" w:type="dxa"/>
            <w:tcBorders>
              <w:top w:val="nil"/>
              <w:left w:val="nil"/>
              <w:bottom w:val="nil"/>
              <w:right w:val="nil"/>
            </w:tcBorders>
          </w:tcPr>
          <w:p>
            <w:pPr>
              <w:spacing w:before="20" w:after="20"/>
              <w:jc w:val="right"/>
            </w:pPr>
            <w:r>
              <w:rPr>
                <w:rFonts w:ascii="Cambria" w:hAnsi="Cambria" w:cs="Cambria" w:eastAsia="Cambria"/>
                <w:b w:val="0"/>
                <w:i w:val="0"/>
                <w:color w:val="000000"/>
                <w:sz w:val="16"/>
              </w:rPr>
              <w:t>1,51</w:t>
            </w:r>
          </w:p>
        </w:tc>
        <w:tc>
          <w:tcPr>
            <w:tcW w:w="1762" w:type="dxa"/>
            <w:tcBorders>
              <w:top w:val="nil"/>
              <w:left w:val="nil"/>
              <w:bottom w:val="nil"/>
              <w:right w:val="nil"/>
            </w:tcBorders>
          </w:tcPr>
          <w:p>
            <w:pPr>
              <w:spacing w:before="20" w:after="20"/>
              <w:jc w:val="right"/>
            </w:pPr>
            <w:r>
              <w:rPr>
                <w:rFonts w:ascii="Cambria" w:hAnsi="Cambria" w:cs="Cambria" w:eastAsia="Cambria"/>
                <w:b w:val="0"/>
                <w:i w:val="0"/>
                <w:color w:val="000000"/>
                <w:sz w:val="16"/>
              </w:rPr>
              <w:t>1,58</w:t>
            </w:r>
          </w:p>
        </w:tc>
        <w:tc>
          <w:tcPr>
            <w:tcW w:w="1155" w:type="dxa"/>
            <w:tcBorders>
              <w:top w:val="nil"/>
              <w:left w:val="nil"/>
              <w:bottom w:val="nil"/>
              <w:right w:val="nil"/>
            </w:tcBorders>
          </w:tcPr>
          <w:p>
            <w:pPr>
              <w:spacing w:before="20" w:after="20"/>
              <w:jc w:val="right"/>
            </w:pPr>
            <w:r>
              <w:rPr>
                <w:rFonts w:ascii="Cambria" w:hAnsi="Cambria" w:cs="Cambria" w:eastAsia="Cambria"/>
                <w:b w:val="0"/>
                <w:i w:val="0"/>
                <w:color w:val="000000"/>
                <w:sz w:val="16"/>
              </w:rPr>
              <w:t>0,947</w:t>
            </w:r>
          </w:p>
        </w:tc>
        <w:tc>
          <w:tcPr>
            <w:tcW w:w="1519" w:type="dxa"/>
            <w:tcBorders>
              <w:top w:val="nil"/>
              <w:left w:val="nil"/>
              <w:bottom w:val="nil"/>
              <w:right w:val="nil"/>
            </w:tcBorders>
          </w:tcPr>
          <w:p>
            <w:pPr>
              <w:spacing w:before="20" w:after="20"/>
              <w:jc w:val="right"/>
            </w:pPr>
            <w:r>
              <w:rPr>
                <w:rFonts w:ascii="Cambria" w:hAnsi="Cambria" w:cs="Cambria" w:eastAsia="Cambria"/>
                <w:b w:val="0"/>
                <w:i w:val="0"/>
                <w:color w:val="000000"/>
                <w:sz w:val="16"/>
              </w:rPr>
              <w:t>1,53</w:t>
            </w:r>
          </w:p>
        </w:tc>
        <w:tc>
          <w:tcPr>
            <w:tcW w:w="1459" w:type="dxa"/>
            <w:tcBorders>
              <w:top w:val="nil"/>
              <w:left w:val="nil"/>
              <w:bottom w:val="nil"/>
              <w:right w:val="nil"/>
            </w:tcBorders>
          </w:tcPr>
          <w:p>
            <w:pPr>
              <w:spacing w:before="20" w:after="20"/>
              <w:jc w:val="right"/>
            </w:pPr>
            <w:r>
              <w:rPr>
                <w:rFonts w:ascii="Cambria" w:hAnsi="Cambria" w:cs="Cambria" w:eastAsia="Cambria"/>
                <w:b w:val="0"/>
                <w:i w:val="0"/>
                <w:color w:val="000000"/>
                <w:sz w:val="16"/>
              </w:rPr>
              <w:t>0,20</w:t>
            </w:r>
          </w:p>
        </w:tc>
        <w:tc>
          <w:tcPr>
            <w:tcW w:w="1155" w:type="dxa"/>
            <w:tcBorders>
              <w:top w:val="nil"/>
              <w:left w:val="nil"/>
              <w:bottom w:val="nil"/>
              <w:right w:val="nil"/>
            </w:tcBorders>
          </w:tcPr>
          <w:p>
            <w:pPr>
              <w:spacing w:before="20" w:after="20"/>
              <w:jc w:val="right"/>
            </w:pPr>
            <w:r>
              <w:rPr>
                <w:rFonts w:ascii="Cambria" w:hAnsi="Cambria" w:cs="Cambria" w:eastAsia="Cambria"/>
                <w:b w:val="0"/>
                <w:i w:val="0"/>
                <w:color w:val="000000"/>
                <w:sz w:val="16"/>
              </w:rPr>
              <w:t>−%87</w:t>
            </w:r>
          </w:p>
        </w:tc>
      </w:tr>
      <w:tr>
        <w:tc>
          <w:tcPr>
            <w:tcW w:w="1823" w:type="dxa"/>
            <w:tcBorders>
              <w:top w:val="nil"/>
              <w:left w:val="nil"/>
              <w:bottom w:val="single" w:sz="8" w:space="0" w:color="000000"/>
              <w:right w:val="nil"/>
            </w:tcBorders>
          </w:tcPr>
          <w:p>
            <w:pPr>
              <w:spacing w:before="20" w:after="20"/>
              <w:jc w:val="left"/>
            </w:pPr>
            <w:r>
              <w:rPr>
                <w:rFonts w:ascii="Cambria" w:hAnsi="Cambria" w:cs="Cambria" w:eastAsia="Cambria"/>
                <w:b w:val="0"/>
                <w:i w:val="0"/>
                <w:color w:val="000000"/>
                <w:sz w:val="16"/>
              </w:rPr>
              <w:t>wrist_3</w:t>
            </w:r>
          </w:p>
        </w:tc>
        <w:tc>
          <w:tcPr>
            <w:tcW w:w="1276" w:type="dxa"/>
            <w:tcBorders>
              <w:top w:val="nil"/>
              <w:left w:val="nil"/>
              <w:bottom w:val="single" w:sz="8" w:space="0" w:color="000000"/>
              <w:right w:val="nil"/>
            </w:tcBorders>
          </w:tcPr>
          <w:p>
            <w:pPr>
              <w:spacing w:before="20" w:after="20"/>
              <w:jc w:val="right"/>
            </w:pPr>
            <w:r>
              <w:rPr>
                <w:rFonts w:ascii="Cambria" w:hAnsi="Cambria" w:cs="Cambria" w:eastAsia="Cambria"/>
                <w:b w:val="0"/>
                <w:i w:val="0"/>
                <w:color w:val="000000"/>
                <w:sz w:val="16"/>
              </w:rPr>
              <w:t>1,38</w:t>
            </w:r>
          </w:p>
        </w:tc>
        <w:tc>
          <w:tcPr>
            <w:tcW w:w="1762" w:type="dxa"/>
            <w:tcBorders>
              <w:top w:val="nil"/>
              <w:left w:val="nil"/>
              <w:bottom w:val="single" w:sz="8" w:space="0" w:color="000000"/>
              <w:right w:val="nil"/>
            </w:tcBorders>
          </w:tcPr>
          <w:p>
            <w:pPr>
              <w:spacing w:before="20" w:after="20"/>
              <w:jc w:val="right"/>
            </w:pPr>
            <w:r>
              <w:rPr>
                <w:rFonts w:ascii="Cambria" w:hAnsi="Cambria" w:cs="Cambria" w:eastAsia="Cambria"/>
                <w:b w:val="0"/>
                <w:i w:val="0"/>
                <w:color w:val="000000"/>
                <w:sz w:val="16"/>
              </w:rPr>
              <w:t>2,05</w:t>
            </w:r>
          </w:p>
        </w:tc>
        <w:tc>
          <w:tcPr>
            <w:tcW w:w="1155" w:type="dxa"/>
            <w:tcBorders>
              <w:top w:val="nil"/>
              <w:left w:val="nil"/>
              <w:bottom w:val="single" w:sz="8" w:space="0" w:color="000000"/>
              <w:right w:val="nil"/>
            </w:tcBorders>
          </w:tcPr>
          <w:p>
            <w:pPr>
              <w:spacing w:before="20" w:after="20"/>
              <w:jc w:val="right"/>
            </w:pPr>
            <w:r>
              <w:rPr>
                <w:rFonts w:ascii="Cambria" w:hAnsi="Cambria" w:cs="Cambria" w:eastAsia="Cambria"/>
                <w:b w:val="0"/>
                <w:i w:val="0"/>
                <w:color w:val="000000"/>
                <w:sz w:val="16"/>
              </w:rPr>
              <w:t>0,974</w:t>
            </w:r>
          </w:p>
        </w:tc>
        <w:tc>
          <w:tcPr>
            <w:tcW w:w="1519" w:type="dxa"/>
            <w:tcBorders>
              <w:top w:val="nil"/>
              <w:left w:val="nil"/>
              <w:bottom w:val="single" w:sz="8" w:space="0" w:color="000000"/>
              <w:right w:val="nil"/>
            </w:tcBorders>
          </w:tcPr>
          <w:p>
            <w:pPr>
              <w:spacing w:before="20" w:after="20"/>
              <w:jc w:val="right"/>
            </w:pPr>
            <w:r>
              <w:rPr>
                <w:rFonts w:ascii="Cambria" w:hAnsi="Cambria" w:cs="Cambria" w:eastAsia="Cambria"/>
                <w:b w:val="0"/>
                <w:i w:val="0"/>
                <w:color w:val="000000"/>
                <w:sz w:val="16"/>
              </w:rPr>
              <w:t>1,90</w:t>
            </w:r>
          </w:p>
        </w:tc>
        <w:tc>
          <w:tcPr>
            <w:tcW w:w="1459" w:type="dxa"/>
            <w:tcBorders>
              <w:top w:val="nil"/>
              <w:left w:val="nil"/>
              <w:bottom w:val="single" w:sz="8" w:space="0" w:color="000000"/>
              <w:right w:val="nil"/>
            </w:tcBorders>
          </w:tcPr>
          <w:p>
            <w:pPr>
              <w:spacing w:before="20" w:after="20"/>
              <w:jc w:val="right"/>
            </w:pPr>
            <w:r>
              <w:rPr>
                <w:rFonts w:ascii="Cambria" w:hAnsi="Cambria" w:cs="Cambria" w:eastAsia="Cambria"/>
                <w:b w:val="0"/>
                <w:i w:val="0"/>
                <w:color w:val="000000"/>
                <w:sz w:val="16"/>
              </w:rPr>
              <w:t>0,15</w:t>
            </w:r>
          </w:p>
        </w:tc>
        <w:tc>
          <w:tcPr>
            <w:tcW w:w="1155" w:type="dxa"/>
            <w:tcBorders>
              <w:top w:val="nil"/>
              <w:left w:val="nil"/>
              <w:bottom w:val="single" w:sz="8" w:space="0" w:color="000000"/>
              <w:right w:val="nil"/>
            </w:tcBorders>
          </w:tcPr>
          <w:p>
            <w:pPr>
              <w:spacing w:before="20" w:after="20"/>
              <w:jc w:val="right"/>
            </w:pPr>
            <w:r>
              <w:rPr>
                <w:rFonts w:ascii="Cambria" w:hAnsi="Cambria" w:cs="Cambria" w:eastAsia="Cambria"/>
                <w:b w:val="0"/>
                <w:i w:val="0"/>
                <w:color w:val="000000"/>
                <w:sz w:val="16"/>
              </w:rPr>
              <w:t>−%92</w:t>
            </w:r>
          </w:p>
        </w:tc>
      </w:tr>
    </w:tbl>
    <w:p>
      <w:pPr>
        <w:spacing w:before="40" w:after="120"/>
        <w:jc w:val="both"/>
        <w:sectPr w:rsidR="006A6232" w:rsidRPr="006A6232" w:rsidSect="00327F76">
          <w:footerReference w:type="default" r:id="rId25"/>
          <w:type w:val="continuous"/>
          <w:pgSz w:w="11906" w:h="16838" w:code="9"/>
          <w:pgMar w:top="1701" w:right="851" w:bottom="1418" w:left="851" w:header="1134" w:footer="851" w:gutter="0"/>
          <w:cols w:space="708"/>
          <w:docGrid w:linePitch="360"/>
        </w:sectPr>
      </w:pPr>
      <w:r>
        <w:rPr>
          <w:rFonts w:ascii="Cambria" w:hAnsi="Cambria" w:cs="Cambria" w:eastAsia="Cambria"/>
          <w:b w:val="0"/>
          <w:i/>
          <w:color w:val="444444"/>
          <w:sz w:val="16"/>
        </w:rPr>
        <w:t>σ(r), terim çıkarılmadan önce ve sonra hareket eden örneklerde (|q̇| &gt; 0,02 rad/s) toplam kalıntının standart sapmasıdır. Regresyon yalnız sürtünmeyi değil, hıza bağlı her model hatasını soğurur; bunların gerçek tribolojik katsayılar olduğu iddia edilmemektedir. Etki tam da ters dinamiğin en az katkı verdiği yerde en büyüktür: wrist_2 ve wrist_3'te kalıntı yayılımının %87 ve %92'si kaybolmaktadır; dolayısıyla yukarıdaki itiraf — bu kanalların model bilgisi taşımadığı — terim dâhil edildiğinde artık geçerli değildir. Bunun tespiti iyileştirip iyileştirmediği ayrı bir sorudur ve Bölüm 4.4'te yanıtlanmaktadır.</w:t>
      </w:r>
    </w:p>
    <w:p>
      <w:pPr>
        <w:pStyle w:val="Paragraf"/>
        <w:spacing w:before="120" w:after="0"/>
        <w:jc w:val="both"/>
      </w:pPr>
      <w:r>
        <w:rPr>
          <w:rFonts w:ascii="Cambria" w:hAnsi="Cambria" w:cs="Cambria" w:eastAsia="Cambria"/>
          <w:b w:val="0"/>
          <w:i w:val="0"/>
          <w:color w:val="000000"/>
          <w:sz w:val="20"/>
        </w:rPr>
        <w:t>Çevrimiçi öznitelik motoru aynı ifadeyi aynı katsayı dosyasından uygulamakta ve Bölüm 3.9'daki eşdeğerlik sınaması terim etkinken çalıştırılmaktadır.</w:t>
      </w:r>
    </w:p>
    <w:p>
      <w:pPr>
        <w:pStyle w:val="Balk-1"/>
        <w:keepNext/>
        <w:spacing w:before="160" w:after="40"/>
      </w:pPr>
      <w:r>
        <w:rPr>
          <w:rFonts w:ascii="Cambria" w:hAnsi="Cambria" w:cs="Cambria" w:eastAsia="Cambria"/>
          <w:b/>
          <w:i w:val="0"/>
          <w:color w:val="000000"/>
          <w:sz w:val="20"/>
        </w:rPr>
        <w:t>3.5. İkili LSTM Özkodlayıcı</w:t>
      </w:r>
    </w:p>
    <w:p>
      <w:pPr>
        <w:pStyle w:val="Paragraf"/>
        <w:spacing w:before="120" w:after="0"/>
        <w:jc w:val="both"/>
      </w:pPr>
      <w:r>
        <w:rPr>
          <w:rFonts w:ascii="Cambria" w:hAnsi="Cambria" w:cs="Cambria" w:eastAsia="Cambria"/>
          <w:b w:val="0"/>
          <w:i w:val="0"/>
          <w:color w:val="000000"/>
          <w:sz w:val="20"/>
        </w:rPr>
        <w:t>Her iki model de, T = 100 örneklik (0,2 s) kayan bir pencereyi saklı bir vektöre sıkıştıran simetrik bir kodlayıcı–çözücü mimarisini paylaşır. İki katmanlı bir LSTM kodlayıcı girdi dizisini sabit boyutlu saklı vektöre indirger; çözücü onu T adım boyunca tekrarlar ve simetrik LSTM katmanlarıyla yeniden inşa eder. Katmanlar arasında %15 sönümleme uygulanır. Her iki model de yalnız normal çalışma verisiyle, ortalama karesel hata kaybıyla eğitilir ve bir pencerenin anomali skoru onun yeniden yapılanma hatasıdır. Her modelin kendi eşiği, doğrulama kümesindeki yeniden yapılanma hatalarının 97. persentilidir.</w:t>
      </w:r>
    </w:p>
    <w:p>
      <w:pPr>
        <w:pStyle w:val="Paragraf"/>
        <w:spacing w:before="120" w:after="0"/>
        <w:jc w:val="both"/>
      </w:pPr>
      <w:r>
        <w:rPr>
          <w:rFonts w:ascii="Cambria" w:hAnsi="Cambria" w:cs="Cambria" w:eastAsia="Cambria"/>
          <w:b w:val="0"/>
          <w:i w:val="0"/>
          <w:color w:val="000000"/>
          <w:sz w:val="20"/>
        </w:rPr>
        <w:t>Pencereleme 25 örneklik adım, yani %75 örtüşme kullanır. İki kural birlikte uygulanır: hiçbir pencere iki koşuya yayılamaz ve türev kenar payınca geçersizleştirilmiş örnek içeren pencereler elenir. Eğitim ve doğrulama pencereleri ayrık fiziksel koşu kümelerinden gelir (Bölüm 3.7), dolayısıyla aralarında paylaşılan hiçbir örnek yoktur. Her model farklı tohumlarla beş kez eğitilmiştir; bu makaledeki her çevrimdışı sayı, bu beş koşunun ortalaması ve standart sapmasıyla verilmektedir, çünkü tek bir eğitim koşusu yöntemler arasındaki farkı ilklendirme gürültüsünden ayıramaz. Tablo 4 mimarileri ve eğitim sonucunu vermektedir.</w:t>
      </w:r>
    </w:p>
    <w:p>
      <w:pPr>
        <w:keepNext/>
        <w:spacing w:before="160" w:after="60"/>
        <w:jc w:val="left"/>
      </w:pPr>
      <w:r>
        <w:rPr>
          <w:rFonts w:ascii="Cambria" w:hAnsi="Cambria" w:cs="Cambria" w:eastAsia="Cambria"/>
          <w:b/>
          <w:i w:val="0"/>
          <w:color w:val="000000"/>
          <w:sz w:val="18"/>
        </w:rPr>
        <w:t>Tablo 4.</w:t>
      </w:r>
      <w:r>
        <w:rPr>
          <w:rFonts w:ascii="Cambria" w:hAnsi="Cambria" w:cs="Cambria" w:eastAsia="Cambria"/>
          <w:b w:val="0"/>
          <w:i w:val="0"/>
          <w:color w:val="000000"/>
          <w:sz w:val="18"/>
        </w:rPr>
        <w:t xml:space="preserve"> Model Mimarileri ve Eğitim Sonucu (beş tohum, ort ± s.s.).</w:t>
      </w:r>
    </w:p>
    <w:tbl>
      <w:tblPr>
        <w:jc w:val="center"/>
        <w:tblLook w:firstColumn="1" w:firstRow="1" w:lastColumn="0" w:lastRow="0" w:noHBand="0" w:noVBand="1" w:val="04A0"/>
        <w:tblW w:w="4735" w:type="dxa"/>
        <w:tblLayout w:type="fixed"/>
      </w:tblPr>
      <w:tblGrid>
        <w:gridCol w:w="1673"/>
        <w:gridCol w:w="1531"/>
        <w:gridCol w:w="1531"/>
      </w:tblGrid>
      <w:tr>
        <w:tc>
          <w:tcPr>
            <w:tcW w:w="1673" w:type="dxa"/>
            <w:tcBorders>
              <w:top w:val="single" w:sz="8" w:space="0" w:color="000000"/>
              <w:left w:val="nil"/>
              <w:bottom w:val="nil"/>
              <w:right w:val="nil"/>
            </w:tcBorders>
          </w:tcPr>
          <w:p>
            <w:pPr>
              <w:spacing w:before="20" w:after="20"/>
              <w:jc w:val="left"/>
            </w:pPr>
          </w:p>
        </w:tc>
        <w:tc>
          <w:tcPr>
            <w:tcW w:w="1531"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Kalıntı ÖK</w:t>
            </w:r>
          </w:p>
        </w:tc>
        <w:tc>
          <w:tcPr>
            <w:tcW w:w="1531"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Ham ÖK</w:t>
            </w:r>
          </w:p>
        </w:tc>
      </w:tr>
      <w:tr>
        <w:tc>
          <w:tcPr>
            <w:tcW w:w="1673" w:type="dxa"/>
            <w:tcBorders>
              <w:top w:val="single" w:sz="4" w:space="0" w:color="000000"/>
              <w:left w:val="nil"/>
              <w:bottom w:val="nil"/>
              <w:right w:val="nil"/>
            </w:tcBorders>
          </w:tcPr>
          <w:p>
            <w:pPr>
              <w:spacing w:before="20" w:after="20"/>
              <w:jc w:val="left"/>
            </w:pPr>
            <w:r>
              <w:rPr>
                <w:rFonts w:ascii="Cambria" w:hAnsi="Cambria" w:cs="Cambria" w:eastAsia="Cambria"/>
                <w:b w:val="0"/>
                <w:i w:val="0"/>
                <w:color w:val="000000"/>
                <w:sz w:val="16"/>
              </w:rPr>
              <w:t>Girdi kanalı</w:t>
            </w:r>
          </w:p>
        </w:tc>
        <w:tc>
          <w:tcPr>
            <w:tcW w:w="1531" w:type="dxa"/>
            <w:tcBorders>
              <w:top w:val="single" w:sz="4" w:space="0" w:color="000000"/>
              <w:left w:val="nil"/>
              <w:bottom w:val="nil"/>
              <w:right w:val="nil"/>
            </w:tcBorders>
          </w:tcPr>
          <w:p>
            <w:pPr>
              <w:spacing w:before="20" w:after="20"/>
              <w:jc w:val="right"/>
            </w:pPr>
            <w:r>
              <w:rPr>
                <w:rFonts w:ascii="Cambria" w:hAnsi="Cambria" w:cs="Cambria" w:eastAsia="Cambria"/>
                <w:b w:val="0"/>
                <w:i w:val="0"/>
                <w:color w:val="000000"/>
                <w:sz w:val="16"/>
              </w:rPr>
              <w:t>12</w:t>
            </w:r>
          </w:p>
        </w:tc>
        <w:tc>
          <w:tcPr>
            <w:tcW w:w="1531" w:type="dxa"/>
            <w:tcBorders>
              <w:top w:val="single" w:sz="4" w:space="0" w:color="000000"/>
              <w:left w:val="nil"/>
              <w:bottom w:val="nil"/>
              <w:right w:val="nil"/>
            </w:tcBorders>
          </w:tcPr>
          <w:p>
            <w:pPr>
              <w:spacing w:before="20" w:after="20"/>
              <w:jc w:val="right"/>
            </w:pPr>
            <w:r>
              <w:rPr>
                <w:rFonts w:ascii="Cambria" w:hAnsi="Cambria" w:cs="Cambria" w:eastAsia="Cambria"/>
                <w:b w:val="0"/>
                <w:i w:val="0"/>
                <w:color w:val="000000"/>
                <w:sz w:val="16"/>
              </w:rPr>
              <w:t>24</w:t>
            </w:r>
          </w:p>
        </w:tc>
      </w:tr>
      <w:tr>
        <w:tc>
          <w:tcPr>
            <w:tcW w:w="1673" w:type="dxa"/>
            <w:tcBorders>
              <w:top w:val="nil"/>
              <w:left w:val="nil"/>
              <w:bottom w:val="nil"/>
              <w:right w:val="nil"/>
            </w:tcBorders>
          </w:tcPr>
          <w:p>
            <w:pPr>
              <w:spacing w:before="20" w:after="20"/>
              <w:jc w:val="left"/>
            </w:pPr>
            <w:r>
              <w:rPr>
                <w:rFonts w:ascii="Cambria" w:hAnsi="Cambria" w:cs="Cambria" w:eastAsia="Cambria"/>
                <w:b w:val="0"/>
                <w:i w:val="0"/>
                <w:color w:val="000000"/>
                <w:sz w:val="16"/>
              </w:rPr>
              <w:t>Gizli / saklı</w:t>
            </w:r>
          </w:p>
        </w:tc>
        <w:tc>
          <w:tcPr>
            <w:tcW w:w="1531" w:type="dxa"/>
            <w:tcBorders>
              <w:top w:val="nil"/>
              <w:left w:val="nil"/>
              <w:bottom w:val="nil"/>
              <w:right w:val="nil"/>
            </w:tcBorders>
          </w:tcPr>
          <w:p>
            <w:pPr>
              <w:spacing w:before="20" w:after="20"/>
              <w:jc w:val="right"/>
            </w:pPr>
            <w:r>
              <w:rPr>
                <w:rFonts w:ascii="Cambria" w:hAnsi="Cambria" w:cs="Cambria" w:eastAsia="Cambria"/>
                <w:b w:val="0"/>
                <w:i w:val="0"/>
                <w:color w:val="000000"/>
                <w:sz w:val="16"/>
              </w:rPr>
              <w:t>128 / 32</w:t>
            </w:r>
          </w:p>
        </w:tc>
        <w:tc>
          <w:tcPr>
            <w:tcW w:w="1531" w:type="dxa"/>
            <w:tcBorders>
              <w:top w:val="nil"/>
              <w:left w:val="nil"/>
              <w:bottom w:val="nil"/>
              <w:right w:val="nil"/>
            </w:tcBorders>
          </w:tcPr>
          <w:p>
            <w:pPr>
              <w:spacing w:before="20" w:after="20"/>
              <w:jc w:val="right"/>
            </w:pPr>
            <w:r>
              <w:rPr>
                <w:rFonts w:ascii="Cambria" w:hAnsi="Cambria" w:cs="Cambria" w:eastAsia="Cambria"/>
                <w:b w:val="0"/>
                <w:i w:val="0"/>
                <w:color w:val="000000"/>
                <w:sz w:val="16"/>
              </w:rPr>
              <w:t>256 / 64</w:t>
            </w:r>
          </w:p>
        </w:tc>
      </w:tr>
      <w:tr>
        <w:tc>
          <w:tcPr>
            <w:tcW w:w="1673" w:type="dxa"/>
            <w:tcBorders>
              <w:top w:val="nil"/>
              <w:left w:val="nil"/>
              <w:bottom w:val="nil"/>
              <w:right w:val="nil"/>
            </w:tcBorders>
          </w:tcPr>
          <w:p>
            <w:pPr>
              <w:spacing w:before="20" w:after="20"/>
              <w:jc w:val="left"/>
            </w:pPr>
            <w:r>
              <w:rPr>
                <w:rFonts w:ascii="Cambria" w:hAnsi="Cambria" w:cs="Cambria" w:eastAsia="Cambria"/>
                <w:b w:val="0"/>
                <w:i w:val="0"/>
                <w:color w:val="000000"/>
                <w:sz w:val="16"/>
              </w:rPr>
              <w:t>Parametre</w:t>
            </w:r>
          </w:p>
        </w:tc>
        <w:tc>
          <w:tcPr>
            <w:tcW w:w="1531" w:type="dxa"/>
            <w:tcBorders>
              <w:top w:val="nil"/>
              <w:left w:val="nil"/>
              <w:bottom w:val="nil"/>
              <w:right w:val="nil"/>
            </w:tcBorders>
          </w:tcPr>
          <w:p>
            <w:pPr>
              <w:spacing w:before="20" w:after="20"/>
              <w:jc w:val="right"/>
            </w:pPr>
            <w:r>
              <w:rPr>
                <w:rFonts w:ascii="Cambria" w:hAnsi="Cambria" w:cs="Cambria" w:eastAsia="Cambria"/>
                <w:b w:val="0"/>
                <w:i w:val="0"/>
                <w:color w:val="000000"/>
                <w:sz w:val="16"/>
              </w:rPr>
              <w:t>478.892</w:t>
            </w:r>
          </w:p>
        </w:tc>
        <w:tc>
          <w:tcPr>
            <w:tcW w:w="1531" w:type="dxa"/>
            <w:tcBorders>
              <w:top w:val="nil"/>
              <w:left w:val="nil"/>
              <w:bottom w:val="nil"/>
              <w:right w:val="nil"/>
            </w:tcBorders>
          </w:tcPr>
          <w:p>
            <w:pPr>
              <w:spacing w:before="20" w:after="20"/>
              <w:jc w:val="right"/>
            </w:pPr>
            <w:r>
              <w:rPr>
                <w:rFonts w:ascii="Cambria" w:hAnsi="Cambria" w:cs="Cambria" w:eastAsia="Cambria"/>
                <w:b w:val="0"/>
                <w:i w:val="0"/>
                <w:color w:val="000000"/>
                <w:sz w:val="16"/>
              </w:rPr>
              <w:t>1.907.032</w:t>
            </w:r>
          </w:p>
        </w:tc>
      </w:tr>
      <w:tr>
        <w:tc>
          <w:tcPr>
            <w:tcW w:w="1673" w:type="dxa"/>
            <w:tcBorders>
              <w:top w:val="nil"/>
              <w:left w:val="nil"/>
              <w:bottom w:val="nil"/>
              <w:right w:val="nil"/>
            </w:tcBorders>
          </w:tcPr>
          <w:p>
            <w:pPr>
              <w:spacing w:before="20" w:after="20"/>
              <w:jc w:val="left"/>
            </w:pPr>
            <w:r>
              <w:rPr>
                <w:rFonts w:ascii="Cambria" w:hAnsi="Cambria" w:cs="Cambria" w:eastAsia="Cambria"/>
                <w:b w:val="0"/>
                <w:i w:val="0"/>
                <w:color w:val="000000"/>
                <w:sz w:val="16"/>
              </w:rPr>
              <w:t>Eğitim / doğrulama penceresi</w:t>
            </w:r>
          </w:p>
        </w:tc>
        <w:tc>
          <w:tcPr>
            <w:tcW w:w="1531" w:type="dxa"/>
            <w:tcBorders>
              <w:top w:val="nil"/>
              <w:left w:val="nil"/>
              <w:bottom w:val="nil"/>
              <w:right w:val="nil"/>
            </w:tcBorders>
          </w:tcPr>
          <w:p>
            <w:pPr>
              <w:spacing w:before="20" w:after="20"/>
              <w:jc w:val="right"/>
            </w:pPr>
            <w:r>
              <w:rPr>
                <w:rFonts w:ascii="Cambria" w:hAnsi="Cambria" w:cs="Cambria" w:eastAsia="Cambria"/>
                <w:b w:val="0"/>
                <w:i w:val="0"/>
                <w:color w:val="000000"/>
                <w:sz w:val="16"/>
              </w:rPr>
              <w:t>6.756 / 2.162</w:t>
            </w:r>
          </w:p>
        </w:tc>
        <w:tc>
          <w:tcPr>
            <w:tcW w:w="1531" w:type="dxa"/>
            <w:tcBorders>
              <w:top w:val="nil"/>
              <w:left w:val="nil"/>
              <w:bottom w:val="nil"/>
              <w:right w:val="nil"/>
            </w:tcBorders>
          </w:tcPr>
          <w:p>
            <w:pPr>
              <w:spacing w:before="20" w:after="20"/>
              <w:jc w:val="right"/>
            </w:pPr>
            <w:r>
              <w:rPr>
                <w:rFonts w:ascii="Cambria" w:hAnsi="Cambria" w:cs="Cambria" w:eastAsia="Cambria"/>
                <w:b w:val="0"/>
                <w:i w:val="0"/>
                <w:color w:val="000000"/>
                <w:sz w:val="16"/>
              </w:rPr>
              <w:t>6.756 / 2.162</w:t>
            </w:r>
          </w:p>
        </w:tc>
      </w:tr>
      <w:tr>
        <w:tc>
          <w:tcPr>
            <w:tcW w:w="1673" w:type="dxa"/>
            <w:tcBorders>
              <w:top w:val="nil"/>
              <w:left w:val="nil"/>
              <w:bottom w:val="nil"/>
              <w:right w:val="nil"/>
            </w:tcBorders>
          </w:tcPr>
          <w:p>
            <w:pPr>
              <w:spacing w:before="20" w:after="20"/>
              <w:jc w:val="left"/>
            </w:pPr>
            <w:r>
              <w:rPr>
                <w:rFonts w:ascii="Cambria" w:hAnsi="Cambria" w:cs="Cambria" w:eastAsia="Cambria"/>
                <w:b w:val="0"/>
                <w:i w:val="0"/>
                <w:color w:val="000000"/>
                <w:sz w:val="16"/>
              </w:rPr>
              <w:t>En iyi dönem</w:t>
            </w:r>
          </w:p>
        </w:tc>
        <w:tc>
          <w:tcPr>
            <w:tcW w:w="1531" w:type="dxa"/>
            <w:tcBorders>
              <w:top w:val="nil"/>
              <w:left w:val="nil"/>
              <w:bottom w:val="nil"/>
              <w:right w:val="nil"/>
            </w:tcBorders>
          </w:tcPr>
          <w:p>
            <w:pPr>
              <w:spacing w:before="20" w:after="20"/>
              <w:jc w:val="right"/>
            </w:pPr>
            <w:r>
              <w:rPr>
                <w:rFonts w:ascii="Cambria" w:hAnsi="Cambria" w:cs="Cambria" w:eastAsia="Cambria"/>
                <w:b w:val="0"/>
                <w:i w:val="0"/>
                <w:color w:val="000000"/>
                <w:sz w:val="16"/>
              </w:rPr>
              <w:t>86 ± 41</w:t>
            </w:r>
          </w:p>
        </w:tc>
        <w:tc>
          <w:tcPr>
            <w:tcW w:w="1531" w:type="dxa"/>
            <w:tcBorders>
              <w:top w:val="nil"/>
              <w:left w:val="nil"/>
              <w:bottom w:val="nil"/>
              <w:right w:val="nil"/>
            </w:tcBorders>
          </w:tcPr>
          <w:p>
            <w:pPr>
              <w:spacing w:before="20" w:after="20"/>
              <w:jc w:val="right"/>
            </w:pPr>
            <w:r>
              <w:rPr>
                <w:rFonts w:ascii="Cambria" w:hAnsi="Cambria" w:cs="Cambria" w:eastAsia="Cambria"/>
                <w:b w:val="0"/>
                <w:i w:val="0"/>
                <w:color w:val="000000"/>
                <w:sz w:val="16"/>
              </w:rPr>
              <w:t>83 ± 42</w:t>
            </w:r>
          </w:p>
        </w:tc>
      </w:tr>
      <w:tr>
        <w:tc>
          <w:tcPr>
            <w:tcW w:w="1673" w:type="dxa"/>
            <w:tcBorders>
              <w:top w:val="nil"/>
              <w:left w:val="nil"/>
              <w:bottom w:val="nil"/>
              <w:right w:val="nil"/>
            </w:tcBorders>
          </w:tcPr>
          <w:p>
            <w:pPr>
              <w:spacing w:before="20" w:after="20"/>
              <w:jc w:val="left"/>
            </w:pPr>
            <w:r>
              <w:rPr>
                <w:rFonts w:ascii="Cambria" w:hAnsi="Cambria" w:cs="Cambria" w:eastAsia="Cambria"/>
                <w:b w:val="0"/>
                <w:i w:val="0"/>
                <w:color w:val="000000"/>
                <w:sz w:val="16"/>
              </w:rPr>
              <w:t>En iyi doğrulama kaybı</w:t>
            </w:r>
          </w:p>
        </w:tc>
        <w:tc>
          <w:tcPr>
            <w:tcW w:w="1531" w:type="dxa"/>
            <w:tcBorders>
              <w:top w:val="nil"/>
              <w:left w:val="nil"/>
              <w:bottom w:val="nil"/>
              <w:right w:val="nil"/>
            </w:tcBorders>
          </w:tcPr>
          <w:p>
            <w:pPr>
              <w:spacing w:before="20" w:after="20"/>
              <w:jc w:val="right"/>
            </w:pPr>
            <w:r>
              <w:rPr>
                <w:rFonts w:ascii="Cambria" w:hAnsi="Cambria" w:cs="Cambria" w:eastAsia="Cambria"/>
                <w:b w:val="0"/>
                <w:i w:val="0"/>
                <w:color w:val="000000"/>
                <w:sz w:val="16"/>
              </w:rPr>
              <w:t>0,092 ± 0,016</w:t>
            </w:r>
          </w:p>
        </w:tc>
        <w:tc>
          <w:tcPr>
            <w:tcW w:w="1531" w:type="dxa"/>
            <w:tcBorders>
              <w:top w:val="nil"/>
              <w:left w:val="nil"/>
              <w:bottom w:val="nil"/>
              <w:right w:val="nil"/>
            </w:tcBorders>
          </w:tcPr>
          <w:p>
            <w:pPr>
              <w:spacing w:before="20" w:after="20"/>
              <w:jc w:val="right"/>
            </w:pPr>
            <w:r>
              <w:rPr>
                <w:rFonts w:ascii="Cambria" w:hAnsi="Cambria" w:cs="Cambria" w:eastAsia="Cambria"/>
                <w:b w:val="0"/>
                <w:i w:val="0"/>
                <w:color w:val="000000"/>
                <w:sz w:val="16"/>
              </w:rPr>
              <w:t>0,036 ± 0,005</w:t>
            </w:r>
          </w:p>
        </w:tc>
      </w:tr>
      <w:tr>
        <w:tc>
          <w:tcPr>
            <w:tcW w:w="1673" w:type="dxa"/>
            <w:tcBorders>
              <w:top w:val="nil"/>
              <w:left w:val="nil"/>
              <w:bottom w:val="single" w:sz="8" w:space="0" w:color="000000"/>
              <w:right w:val="nil"/>
            </w:tcBorders>
          </w:tcPr>
          <w:p>
            <w:pPr>
              <w:spacing w:before="20" w:after="20"/>
              <w:jc w:val="left"/>
            </w:pPr>
            <w:r>
              <w:rPr>
                <w:rFonts w:ascii="Cambria" w:hAnsi="Cambria" w:cs="Cambria" w:eastAsia="Cambria"/>
                <w:b w:val="0"/>
                <w:i w:val="0"/>
                <w:color w:val="000000"/>
                <w:sz w:val="16"/>
              </w:rPr>
              <w:t>Eşik θ (P97)</w:t>
            </w:r>
          </w:p>
        </w:tc>
        <w:tc>
          <w:tcPr>
            <w:tcW w:w="1531" w:type="dxa"/>
            <w:tcBorders>
              <w:top w:val="nil"/>
              <w:left w:val="nil"/>
              <w:bottom w:val="single" w:sz="8" w:space="0" w:color="000000"/>
              <w:right w:val="nil"/>
            </w:tcBorders>
          </w:tcPr>
          <w:p>
            <w:pPr>
              <w:spacing w:before="20" w:after="20"/>
              <w:jc w:val="right"/>
            </w:pPr>
            <w:r>
              <w:rPr>
                <w:rFonts w:ascii="Cambria" w:hAnsi="Cambria" w:cs="Cambria" w:eastAsia="Cambria"/>
                <w:b w:val="0"/>
                <w:i w:val="0"/>
                <w:color w:val="000000"/>
                <w:sz w:val="16"/>
              </w:rPr>
              <w:t>0,887 ± 0,412</w:t>
            </w:r>
          </w:p>
        </w:tc>
        <w:tc>
          <w:tcPr>
            <w:tcW w:w="1531" w:type="dxa"/>
            <w:tcBorders>
              <w:top w:val="nil"/>
              <w:left w:val="nil"/>
              <w:bottom w:val="single" w:sz="8" w:space="0" w:color="000000"/>
              <w:right w:val="nil"/>
            </w:tcBorders>
          </w:tcPr>
          <w:p>
            <w:pPr>
              <w:spacing w:before="20" w:after="20"/>
              <w:jc w:val="right"/>
            </w:pPr>
            <w:r>
              <w:rPr>
                <w:rFonts w:ascii="Cambria" w:hAnsi="Cambria" w:cs="Cambria" w:eastAsia="Cambria"/>
                <w:b w:val="0"/>
                <w:i w:val="0"/>
                <w:color w:val="000000"/>
                <w:sz w:val="16"/>
              </w:rPr>
              <w:t>0,412 ± 0,038</w:t>
            </w:r>
          </w:p>
        </w:tc>
      </w:tr>
    </w:tbl>
    <w:p>
      <w:pPr>
        <w:spacing w:before="40" w:after="120"/>
        <w:jc w:val="both"/>
      </w:pPr>
      <w:r>
        <w:rPr>
          <w:rFonts w:ascii="Cambria" w:hAnsi="Cambria" w:cs="Cambria" w:eastAsia="Cambria"/>
          <w:b w:val="0"/>
          <w:i/>
          <w:color w:val="444444"/>
          <w:sz w:val="16"/>
        </w:rPr>
        <w:t>Adam (lr = 10⁻³, β = 0,9/0,999), yığın 256, gradyan kırpma 1,0, ReduceLROnPlateau (faktör 0,5, sabır 8), en fazla 300 dönem boyunca sabır 25 ile erken durdurma; her model RTX 4060 dizüstünde bir dakikanın altında eğitilmektedir. Her iki doğrulama kaybı da referans çalışmanınkilerin (0,181 ve 0,320) çok altındadır; sebebi daha iyi bir model değil, doğrulama kümesinin bileşimidir: on altı doğrulama koşusu eğitim eklem aralığının içinde kalacak biçimde seçilmiştir (Bölüm 3.7), dolayısıyla doğrulama, indeks kesiğine göre eğitime daha çok benzemektedir. Sürtünme terimi bunu açıklamaz — ham model kalıntı kanallarını hiç görmez ve kaybı terimle de terimsiz de 0,036'dır; kalıntı modelinin kaybı ise terimle 0,092, terimsiz 0,062'dir. Eğitime benzeyen bir doğrulama kümesi dar bir dağılım verir ve θ o dağılımın bir persentilidir; Bölüm 4.7 bunun donanımda neye mal olduğunu ölçmektedir. Tohumlar arasında kalıntı eşiği ortalamasının %46'sı, ham eşiği %9'u kadar değişmektedir. Buradaki değerler beş tohum ortalamasıdır; Bölüm 4.7 dağıtılan tohumu kullanır, onun eşikleri 1,3723 ve 0,3934'tür.</w:t>
      </w:r>
    </w:p>
    <w:p>
      <w:pPr>
        <w:pStyle w:val="Balk-1"/>
        <w:keepNext/>
        <w:spacing w:before="160" w:after="40"/>
      </w:pPr>
      <w:r>
        <w:rPr>
          <w:rFonts w:ascii="Cambria" w:hAnsi="Cambria" w:cs="Cambria" w:eastAsia="Cambria"/>
          <w:b/>
          <w:i w:val="0"/>
          <w:color w:val="000000"/>
          <w:sz w:val="20"/>
        </w:rPr>
        <w:t>3.6. Skor Düzeyinde Birleşim ve Nedensel Normalleştirme</w:t>
      </w:r>
    </w:p>
    <w:p>
      <w:pPr>
        <w:pStyle w:val="Paragraf"/>
        <w:spacing w:before="120" w:after="0"/>
        <w:jc w:val="both"/>
      </w:pPr>
      <w:r>
        <w:rPr>
          <w:rFonts w:ascii="Cambria" w:hAnsi="Cambria" w:cs="Cambria" w:eastAsia="Cambria"/>
          <w:b w:val="0"/>
          <w:i w:val="0"/>
          <w:color w:val="000000"/>
          <w:sz w:val="20"/>
        </w:rPr>
        <w:t>İki modelin normalleştirilmiş skorları ağırlıklı ortalamayla birleştirilir,</w:t>
      </w:r>
    </w:p>
    <w:p>
      <w:pPr>
        <w:spacing w:before="0" w:after="0"/>
      </w:pPr>
    </w:p>
    <w:p>
      <w:pPr>
        <w:pStyle w:val="Eitlik"/>
        <w:tabs>
          <w:tab w:pos="4734" w:val="right"/>
        </w:tabs>
        <w:spacing w:before="0" w:after="0"/>
      </w:pPr>
      <w:r>
        <w:rPr>
          <w:rFonts w:ascii="Cambria" w:hAnsi="Cambria" w:cs="Cambria" w:eastAsia="Cambria"/>
          <w:b w:val="0"/>
          <w:i w:val="0"/>
          <w:color w:val="000000"/>
          <w:sz w:val="20"/>
        </w:rPr>
      </w:r>
      <w:r>
        <w:rPr>
          <w:rFonts w:ascii="Cambria" w:hAnsi="Cambria" w:cs="Cambria" w:eastAsia="Cambria"/>
          <w:b w:val="0"/>
          <w:i/>
          <w:color w:val="000000"/>
          <w:sz w:val="20"/>
        </w:rPr>
        <w:t>S_bir  =  w_kal · z_kal  +  w_ham · z_ham</w:t>
      </w:r>
      <w:r>
        <w:rPr>
          <w:rFonts w:ascii="Cambria" w:hAnsi="Cambria" w:cs="Cambria" w:eastAsia="Cambria"/>
          <w:b w:val="0"/>
          <w:i w:val="0"/>
          <w:color w:val="000000"/>
          <w:sz w:val="20"/>
        </w:rPr>
        <w:tab/>
      </w:r>
      <w:r>
        <w:rPr>
          <w:rFonts w:ascii="Cambria" w:hAnsi="Cambria" w:cs="Cambria" w:eastAsia="Cambria"/>
          <w:b w:val="0"/>
          <w:i w:val="0"/>
          <w:color w:val="000000"/>
          <w:sz w:val="20"/>
        </w:rPr>
        <w:t>(5)</w:t>
      </w:r>
    </w:p>
    <w:p>
      <w:pPr>
        <w:spacing w:before="0" w:after="0"/>
      </w:pPr>
    </w:p>
    <w:p>
      <w:pPr>
        <w:pStyle w:val="Paragraf"/>
        <w:spacing w:before="120" w:after="0"/>
        <w:jc w:val="both"/>
      </w:pPr>
      <w:r>
        <w:rPr>
          <w:rFonts w:ascii="Cambria" w:hAnsi="Cambria" w:cs="Cambria" w:eastAsia="Cambria"/>
          <w:b w:val="0"/>
          <w:i w:val="0"/>
          <w:color w:val="000000"/>
          <w:sz w:val="20"/>
        </w:rPr>
        <w:t>burada w_kal + w_ham = 1'dir. Ağırlık burada ayarlanmamaktadır: w_kal = 0,95 referans çalışmadan önsel olarak benimsenmiş olup seçimi için hiçbir değerlendirme kümesine başvurulmamıştır. Bu önemlidir, çünkü referans çalışma bu değeri kendi test kümesindeki en yüksek F1'in argmaksı olarak seçmişti; sabitlemek, seçimi başka bir kümeye taşımak yerine tamamen ortadan kaldırır. [0, 1] aralığında 0,05 adımlı tarama yine yapılmaktadır, ancak Bölüm 4.3 bunu bir arama olarak değil bir duyarlılık analizi olarak raporlar. Referans çalışma her skoru, sınırları arıza enjekte edilmiş test kümesinden gelen bir min–maks dönüşümüyle normalleştirir. Bu çevrimiçi kullanılamaz, iki sebeple: sınırlar gelecekteki maksimumları içerir ve o maksimumlar normal çalışmada hiç görülmez. O çalışmanın kendi test kümesinde ölçüldüğünde, maksimumların 4341 ve 7752 olması yüzünden tüm normal çalışma aralığı 10⁻⁴ mertebesine sıkışmakta, birleşik eşik her iki tekil eşikten de katı hâle gelmekte ve motor kayması ile gizyazar hataları hiç tespit edilememektedir.</w:t>
      </w:r>
    </w:p>
    <w:p>
      <w:pPr>
        <w:pStyle w:val="Paragraf"/>
        <w:spacing w:before="120" w:after="0"/>
        <w:jc w:val="both"/>
      </w:pPr>
      <w:r>
        <w:rPr>
          <w:rFonts w:ascii="Cambria" w:hAnsi="Cambria" w:cs="Cambria" w:eastAsia="Cambria"/>
          <w:b w:val="0"/>
          <w:i w:val="0"/>
          <w:color w:val="000000"/>
          <w:sz w:val="20"/>
        </w:rPr>
        <w:t>Her iki normalleştirme de afin olduğundan çevrimiçi motor tek bir kod yolu uygular,</w:t>
      </w:r>
    </w:p>
    <w:p>
      <w:pPr>
        <w:spacing w:before="0" w:after="0"/>
      </w:pPr>
    </w:p>
    <w:p>
      <w:pPr>
        <w:pStyle w:val="Eitlik"/>
        <w:tabs>
          <w:tab w:pos="4734" w:val="right"/>
        </w:tabs>
        <w:spacing w:before="0" w:after="0"/>
      </w:pPr>
      <w:r>
        <w:rPr>
          <w:rFonts w:ascii="Cambria" w:hAnsi="Cambria" w:cs="Cambria" w:eastAsia="Cambria"/>
          <w:b w:val="0"/>
          <w:i w:val="0"/>
          <w:color w:val="000000"/>
          <w:sz w:val="20"/>
        </w:rPr>
      </w:r>
      <w:r>
        <w:rPr>
          <w:rFonts w:ascii="Cambria" w:hAnsi="Cambria" w:cs="Cambria" w:eastAsia="Cambria"/>
          <w:b w:val="0"/>
          <w:i/>
          <w:color w:val="000000"/>
          <w:sz w:val="20"/>
        </w:rPr>
        <w:t>z  =  (S − lo) / genişlik</w:t>
      </w:r>
      <w:r>
        <w:rPr>
          <w:rFonts w:ascii="Cambria" w:hAnsi="Cambria" w:cs="Cambria" w:eastAsia="Cambria"/>
          <w:b w:val="0"/>
          <w:i w:val="0"/>
          <w:color w:val="000000"/>
          <w:sz w:val="20"/>
        </w:rPr>
        <w:tab/>
      </w:r>
      <w:r>
        <w:rPr>
          <w:rFonts w:ascii="Cambria" w:hAnsi="Cambria" w:cs="Cambria" w:eastAsia="Cambria"/>
          <w:b w:val="0"/>
          <w:i w:val="0"/>
          <w:color w:val="000000"/>
          <w:sz w:val="20"/>
        </w:rPr>
        <w:t>(6)</w:t>
      </w:r>
    </w:p>
    <w:p>
      <w:pPr>
        <w:spacing w:before="0" w:after="0"/>
      </w:pPr>
    </w:p>
    <w:p>
      <w:pPr>
        <w:pStyle w:val="Paragraf"/>
        <w:spacing w:before="120" w:after="0"/>
        <w:jc w:val="both"/>
      </w:pPr>
      <w:r>
        <w:rPr>
          <w:rFonts w:ascii="Cambria" w:hAnsi="Cambria" w:cs="Cambria" w:eastAsia="Cambria"/>
          <w:b w:val="0"/>
          <w:i w:val="0"/>
          <w:color w:val="000000"/>
          <w:sz w:val="20"/>
        </w:rPr>
        <w:t>ve sınırlar test kümesi yerine temiz doğrulama pencerelerinden alınır. Bu, yayımlanmış formülü korur ve referans yöntemden sapmayı yalnızca sınırların alındığı kümenin değişmesine indirger. Birleşik çalışma eşiği, çalışmanın kendi kuralını birleşik skora genişletir: temiz doğrulama pencerelerinin 97. persentili. Çevrimdışı bu, beklenen %3 yanlış alarm oranını verir. Bölüm 4.7, ne sınırların ne de eşiğin donanıma taşındığını göstermekte; Bölüm 3.11 orada bunların yerini alan yordamı vermektedir.</w:t>
      </w:r>
    </w:p>
    <w:p>
      <w:pPr>
        <w:pStyle w:val="Balk-1"/>
        <w:keepNext/>
        <w:spacing w:before="160" w:after="40"/>
      </w:pPr>
      <w:r>
        <w:rPr>
          <w:rFonts w:ascii="Cambria" w:hAnsi="Cambria" w:cs="Cambria" w:eastAsia="Cambria"/>
          <w:b/>
          <w:i w:val="0"/>
          <w:color w:val="000000"/>
          <w:sz w:val="20"/>
        </w:rPr>
        <w:t>3.7. Veri Bölmesi, Arıza Enjeksiyonu ve Değerlendirme Protokolü</w:t>
      </w:r>
    </w:p>
    <w:p>
      <w:pPr>
        <w:pStyle w:val="Paragraf"/>
        <w:spacing w:before="120" w:after="0"/>
        <w:jc w:val="both"/>
      </w:pPr>
      <w:r>
        <w:rPr>
          <w:rFonts w:ascii="Cambria" w:hAnsi="Cambria" w:cs="Cambria" w:eastAsia="Cambria"/>
          <w:b w:val="0"/>
          <w:i w:val="0"/>
          <w:color w:val="000000"/>
          <w:sz w:val="20"/>
        </w:rPr>
        <w:t>600 fiziksel koşu bir kez bölünür ve her tüketici aynı bölmeyi okur: Bölüm 3.4'ün sürtünme uydurması, Bölüm 3.5'in özkodlayıcı eğitimi ve aşağıdaki değerlendirme. Bölme satır indeksine göre değil koşuya göredir. Referans çalışma kaydı sabit bir oranda kesmiş, sonra test kümesini kaydın her penceresinden kurmuştu; eğitim yalnız ilk kısmı kullandığı için değerlendirme pencerelerinin beşte dördü, modellerin daha önce yeniden inşa ettiği pencerelerdi. O düzen üzerinde ölçüldüğünde, eğitim aralığının içindeki temiz pencerelerin yeniden yapılanma hatası 0,007, dışındakilerin 0,486 idi; her iki model için de yetmiş kat.</w:t>
      </w:r>
    </w:p>
    <w:p>
      <w:pPr>
        <w:pStyle w:val="Paragraf"/>
        <w:spacing w:before="120" w:after="0"/>
        <w:jc w:val="both"/>
        <w:sectPr w:rsidR="006A6232" w:rsidRPr="006A6232" w:rsidSect="00327F76">
          <w:footerReference w:type="default" r:id="rId25"/>
          <w:type w:val="continuous"/>
          <w:pgSz w:w="11906" w:h="16838" w:code="9"/>
          <w:pgMar w:top="1701" w:right="851" w:bottom="1418" w:left="851" w:header="1134" w:footer="851" w:gutter="0"/>
          <w:cols w:num="2" w:space="709" w:equalWidth="1"/>
          <w:docGrid w:linePitch="360"/>
        </w:sectPr>
      </w:pPr>
      <w:r>
        <w:rPr>
          <w:rFonts w:ascii="Cambria" w:hAnsi="Cambria" w:cs="Cambria" w:eastAsia="Cambria"/>
          <w:b w:val="0"/>
          <w:i w:val="0"/>
          <w:color w:val="000000"/>
          <w:sz w:val="20"/>
        </w:rPr>
        <w:t>Koşu uzunlukları saf bir bölmeyi kullanılamaz kılmaktadır: 600 koşunun 521'i bir saniyeden kısayken, en uzun 32 koşu örneklerin %54'ünü ve tek başına en uzun olan %10,5'ini taşımaktadır. Koşular bu yüzden iki geçişte dağıtılır. Arıza taşıyacak kadar uzun koşular, her bölmenin kendi bağımsız arıza olaylarını alması için sayıca dağıtılır; kalan kısa koşular ardından örnek kotasını doldurur. Tablo 5 sonucu vermektedir. Eklem aralığı kapsaması sonradan denetlenmiştir: doğrulama ve test, altı eklemin hepsinde eğitim aralığının içinde kalmaktadır.</w:t>
      </w:r>
    </w:p>
    <w:p>
      <w:pPr>
        <w:keepNext/>
        <w:spacing w:before="160" w:after="60"/>
        <w:jc w:val="left"/>
      </w:pPr>
      <w:r>
        <w:rPr>
          <w:rFonts w:ascii="Cambria" w:hAnsi="Cambria" w:cs="Cambria" w:eastAsia="Cambria"/>
          <w:b/>
          <w:i w:val="0"/>
          <w:color w:val="000000"/>
          <w:sz w:val="18"/>
        </w:rPr>
        <w:t>Tablo 5.</w:t>
      </w:r>
      <w:r>
        <w:rPr>
          <w:rFonts w:ascii="Cambria" w:hAnsi="Cambria" w:cs="Cambria" w:eastAsia="Cambria"/>
          <w:b w:val="0"/>
          <w:i w:val="0"/>
          <w:color w:val="000000"/>
          <w:sz w:val="18"/>
        </w:rPr>
        <w:t xml:space="preserve"> Koşu-Ayrık Bölme.</w:t>
      </w:r>
    </w:p>
    <w:tbl>
      <w:tblPr>
        <w:jc w:val="center"/>
        <w:tblLook w:firstColumn="1" w:firstRow="1" w:lastColumn="0" w:lastRow="0" w:noHBand="0" w:noVBand="1" w:val="04A0"/>
        <w:tblW w:w="10148" w:type="dxa"/>
        <w:tblLayout w:type="fixed"/>
      </w:tblPr>
      <w:tblGrid>
        <w:gridCol w:w="1814"/>
        <w:gridCol w:w="1361"/>
        <w:gridCol w:w="1814"/>
        <w:gridCol w:w="1474"/>
        <w:gridCol w:w="1644"/>
        <w:gridCol w:w="2041"/>
      </w:tblGrid>
      <w:tr>
        <w:tc>
          <w:tcPr>
            <w:tcW w:w="1814"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Bölme</w:t>
            </w:r>
          </w:p>
        </w:tc>
        <w:tc>
          <w:tcPr>
            <w:tcW w:w="1361"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Koşu</w:t>
            </w:r>
          </w:p>
        </w:tc>
        <w:tc>
          <w:tcPr>
            <w:tcW w:w="1814"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Örnek</w:t>
            </w:r>
          </w:p>
        </w:tc>
        <w:tc>
          <w:tcPr>
            <w:tcW w:w="1474"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Pay</w:t>
            </w:r>
          </w:p>
        </w:tc>
        <w:tc>
          <w:tcPr>
            <w:tcW w:w="1644"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Pencere</w:t>
            </w:r>
          </w:p>
        </w:tc>
        <w:tc>
          <w:tcPr>
            <w:tcW w:w="2041"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Arıza taşıyıcı</w:t>
            </w:r>
          </w:p>
        </w:tc>
      </w:tr>
      <w:tr>
        <w:tc>
          <w:tcPr>
            <w:tcW w:w="1814" w:type="dxa"/>
            <w:tcBorders>
              <w:top w:val="single" w:sz="4" w:space="0" w:color="000000"/>
              <w:left w:val="nil"/>
              <w:bottom w:val="nil"/>
              <w:right w:val="nil"/>
            </w:tcBorders>
          </w:tcPr>
          <w:p>
            <w:pPr>
              <w:spacing w:before="20" w:after="20"/>
              <w:jc w:val="left"/>
            </w:pPr>
            <w:r>
              <w:rPr>
                <w:rFonts w:ascii="Cambria" w:hAnsi="Cambria" w:cs="Cambria" w:eastAsia="Cambria"/>
                <w:b w:val="0"/>
                <w:i w:val="0"/>
                <w:color w:val="000000"/>
                <w:sz w:val="16"/>
              </w:rPr>
              <w:t>Eğitim</w:t>
            </w:r>
          </w:p>
        </w:tc>
        <w:tc>
          <w:tcPr>
            <w:tcW w:w="1361" w:type="dxa"/>
            <w:tcBorders>
              <w:top w:val="single" w:sz="4" w:space="0" w:color="000000"/>
              <w:left w:val="nil"/>
              <w:bottom w:val="nil"/>
              <w:right w:val="nil"/>
            </w:tcBorders>
          </w:tcPr>
          <w:p>
            <w:pPr>
              <w:spacing w:before="20" w:after="20"/>
              <w:jc w:val="right"/>
            </w:pPr>
            <w:r>
              <w:rPr>
                <w:rFonts w:ascii="Cambria" w:hAnsi="Cambria" w:cs="Cambria" w:eastAsia="Cambria"/>
                <w:b w:val="0"/>
                <w:i w:val="0"/>
                <w:color w:val="000000"/>
                <w:sz w:val="16"/>
              </w:rPr>
              <w:t>489</w:t>
            </w:r>
          </w:p>
        </w:tc>
        <w:tc>
          <w:tcPr>
            <w:tcW w:w="1814" w:type="dxa"/>
            <w:tcBorders>
              <w:top w:val="single" w:sz="4" w:space="0" w:color="000000"/>
              <w:left w:val="nil"/>
              <w:bottom w:val="nil"/>
              <w:right w:val="nil"/>
            </w:tcBorders>
          </w:tcPr>
          <w:p>
            <w:pPr>
              <w:spacing w:before="20" w:after="20"/>
              <w:jc w:val="right"/>
            </w:pPr>
            <w:r>
              <w:rPr>
                <w:rFonts w:ascii="Cambria" w:hAnsi="Cambria" w:cs="Cambria" w:eastAsia="Cambria"/>
                <w:b w:val="0"/>
                <w:i w:val="0"/>
                <w:color w:val="000000"/>
                <w:sz w:val="16"/>
              </w:rPr>
              <w:t>235.657</w:t>
            </w:r>
          </w:p>
        </w:tc>
        <w:tc>
          <w:tcPr>
            <w:tcW w:w="1474" w:type="dxa"/>
            <w:tcBorders>
              <w:top w:val="single" w:sz="4" w:space="0" w:color="000000"/>
              <w:left w:val="nil"/>
              <w:bottom w:val="nil"/>
              <w:right w:val="nil"/>
            </w:tcBorders>
          </w:tcPr>
          <w:p>
            <w:pPr>
              <w:spacing w:before="20" w:after="20"/>
              <w:jc w:val="right"/>
            </w:pPr>
            <w:r>
              <w:rPr>
                <w:rFonts w:ascii="Cambria" w:hAnsi="Cambria" w:cs="Cambria" w:eastAsia="Cambria"/>
                <w:b w:val="0"/>
                <w:i w:val="0"/>
                <w:color w:val="000000"/>
                <w:sz w:val="16"/>
              </w:rPr>
              <w:t>%68,8</w:t>
            </w:r>
          </w:p>
        </w:tc>
        <w:tc>
          <w:tcPr>
            <w:tcW w:w="1644" w:type="dxa"/>
            <w:tcBorders>
              <w:top w:val="single" w:sz="4" w:space="0" w:color="000000"/>
              <w:left w:val="nil"/>
              <w:bottom w:val="nil"/>
              <w:right w:val="nil"/>
            </w:tcBorders>
          </w:tcPr>
          <w:p>
            <w:pPr>
              <w:spacing w:before="20" w:after="20"/>
              <w:jc w:val="right"/>
            </w:pPr>
            <w:r>
              <w:rPr>
                <w:rFonts w:ascii="Cambria" w:hAnsi="Cambria" w:cs="Cambria" w:eastAsia="Cambria"/>
                <w:b w:val="0"/>
                <w:i w:val="0"/>
                <w:color w:val="000000"/>
                <w:sz w:val="16"/>
              </w:rPr>
              <w:t>6.756</w:t>
            </w:r>
          </w:p>
        </w:tc>
        <w:tc>
          <w:tcPr>
            <w:tcW w:w="2041" w:type="dxa"/>
            <w:tcBorders>
              <w:top w:val="single" w:sz="4" w:space="0" w:color="000000"/>
              <w:left w:val="nil"/>
              <w:bottom w:val="nil"/>
              <w:right w:val="nil"/>
            </w:tcBorders>
          </w:tcPr>
          <w:p>
            <w:pPr>
              <w:spacing w:before="20" w:after="20"/>
              <w:jc w:val="right"/>
            </w:pPr>
            <w:r>
              <w:rPr>
                <w:rFonts w:ascii="Cambria" w:hAnsi="Cambria" w:cs="Cambria" w:eastAsia="Cambria"/>
                <w:b w:val="0"/>
                <w:i w:val="0"/>
                <w:color w:val="000000"/>
                <w:sz w:val="16"/>
              </w:rPr>
              <w:t>74</w:t>
            </w:r>
          </w:p>
        </w:tc>
      </w:tr>
      <w:tr>
        <w:tc>
          <w:tcPr>
            <w:tcW w:w="1814" w:type="dxa"/>
            <w:tcBorders>
              <w:top w:val="nil"/>
              <w:left w:val="nil"/>
              <w:bottom w:val="nil"/>
              <w:right w:val="nil"/>
            </w:tcBorders>
          </w:tcPr>
          <w:p>
            <w:pPr>
              <w:spacing w:before="20" w:after="20"/>
              <w:jc w:val="left"/>
            </w:pPr>
            <w:r>
              <w:rPr>
                <w:rFonts w:ascii="Cambria" w:hAnsi="Cambria" w:cs="Cambria" w:eastAsia="Cambria"/>
                <w:b w:val="0"/>
                <w:i w:val="0"/>
                <w:color w:val="000000"/>
                <w:sz w:val="16"/>
              </w:rPr>
              <w:t>Doğrulama</w:t>
            </w:r>
          </w:p>
        </w:tc>
        <w:tc>
          <w:tcPr>
            <w:tcW w:w="1361" w:type="dxa"/>
            <w:tcBorders>
              <w:top w:val="nil"/>
              <w:left w:val="nil"/>
              <w:bottom w:val="nil"/>
              <w:right w:val="nil"/>
            </w:tcBorders>
          </w:tcPr>
          <w:p>
            <w:pPr>
              <w:spacing w:before="20" w:after="20"/>
              <w:jc w:val="right"/>
            </w:pPr>
            <w:r>
              <w:rPr>
                <w:rFonts w:ascii="Cambria" w:hAnsi="Cambria" w:cs="Cambria" w:eastAsia="Cambria"/>
                <w:b w:val="0"/>
                <w:i w:val="0"/>
                <w:color w:val="000000"/>
                <w:sz w:val="16"/>
              </w:rPr>
              <w:t>16</w:t>
            </w:r>
          </w:p>
        </w:tc>
        <w:tc>
          <w:tcPr>
            <w:tcW w:w="1814" w:type="dxa"/>
            <w:tcBorders>
              <w:top w:val="nil"/>
              <w:left w:val="nil"/>
              <w:bottom w:val="nil"/>
              <w:right w:val="nil"/>
            </w:tcBorders>
          </w:tcPr>
          <w:p>
            <w:pPr>
              <w:spacing w:before="20" w:after="20"/>
              <w:jc w:val="right"/>
            </w:pPr>
            <w:r>
              <w:rPr>
                <w:rFonts w:ascii="Cambria" w:hAnsi="Cambria" w:cs="Cambria" w:eastAsia="Cambria"/>
                <w:b w:val="0"/>
                <w:i w:val="0"/>
                <w:color w:val="000000"/>
                <w:sz w:val="16"/>
              </w:rPr>
              <w:t>56.244</w:t>
            </w:r>
          </w:p>
        </w:tc>
        <w:tc>
          <w:tcPr>
            <w:tcW w:w="1474" w:type="dxa"/>
            <w:tcBorders>
              <w:top w:val="nil"/>
              <w:left w:val="nil"/>
              <w:bottom w:val="nil"/>
              <w:right w:val="nil"/>
            </w:tcBorders>
          </w:tcPr>
          <w:p>
            <w:pPr>
              <w:spacing w:before="20" w:after="20"/>
              <w:jc w:val="right"/>
            </w:pPr>
            <w:r>
              <w:rPr>
                <w:rFonts w:ascii="Cambria" w:hAnsi="Cambria" w:cs="Cambria" w:eastAsia="Cambria"/>
                <w:b w:val="0"/>
                <w:i w:val="0"/>
                <w:color w:val="000000"/>
                <w:sz w:val="16"/>
              </w:rPr>
              <w:t>%16,4</w:t>
            </w:r>
          </w:p>
        </w:tc>
        <w:tc>
          <w:tcPr>
            <w:tcW w:w="1644" w:type="dxa"/>
            <w:tcBorders>
              <w:top w:val="nil"/>
              <w:left w:val="nil"/>
              <w:bottom w:val="nil"/>
              <w:right w:val="nil"/>
            </w:tcBorders>
          </w:tcPr>
          <w:p>
            <w:pPr>
              <w:spacing w:before="20" w:after="20"/>
              <w:jc w:val="right"/>
            </w:pPr>
            <w:r>
              <w:rPr>
                <w:rFonts w:ascii="Cambria" w:hAnsi="Cambria" w:cs="Cambria" w:eastAsia="Cambria"/>
                <w:b w:val="0"/>
                <w:i w:val="0"/>
                <w:color w:val="000000"/>
                <w:sz w:val="16"/>
              </w:rPr>
              <w:t>2.162</w:t>
            </w:r>
          </w:p>
        </w:tc>
        <w:tc>
          <w:tcPr>
            <w:tcW w:w="2041" w:type="dxa"/>
            <w:tcBorders>
              <w:top w:val="nil"/>
              <w:left w:val="nil"/>
              <w:bottom w:val="nil"/>
              <w:right w:val="nil"/>
            </w:tcBorders>
          </w:tcPr>
          <w:p>
            <w:pPr>
              <w:spacing w:before="20" w:after="20"/>
              <w:jc w:val="right"/>
            </w:pPr>
            <w:r>
              <w:rPr>
                <w:rFonts w:ascii="Cambria" w:hAnsi="Cambria" w:cs="Cambria" w:eastAsia="Cambria"/>
                <w:b w:val="0"/>
                <w:i w:val="0"/>
                <w:color w:val="000000"/>
                <w:sz w:val="16"/>
              </w:rPr>
              <w:t>16</w:t>
            </w:r>
          </w:p>
        </w:tc>
      </w:tr>
      <w:tr>
        <w:tc>
          <w:tcPr>
            <w:tcW w:w="1814" w:type="dxa"/>
            <w:tcBorders>
              <w:top w:val="nil"/>
              <w:left w:val="nil"/>
              <w:bottom w:val="single" w:sz="8" w:space="0" w:color="000000"/>
              <w:right w:val="nil"/>
            </w:tcBorders>
          </w:tcPr>
          <w:p>
            <w:pPr>
              <w:spacing w:before="20" w:after="20"/>
              <w:jc w:val="left"/>
            </w:pPr>
            <w:r>
              <w:rPr>
                <w:rFonts w:ascii="Cambria" w:hAnsi="Cambria" w:cs="Cambria" w:eastAsia="Cambria"/>
                <w:b w:val="0"/>
                <w:i w:val="0"/>
                <w:color w:val="000000"/>
                <w:sz w:val="16"/>
              </w:rPr>
              <w:t>Test</w:t>
            </w:r>
          </w:p>
        </w:tc>
        <w:tc>
          <w:tcPr>
            <w:tcW w:w="1361" w:type="dxa"/>
            <w:tcBorders>
              <w:top w:val="nil"/>
              <w:left w:val="nil"/>
              <w:bottom w:val="single" w:sz="8" w:space="0" w:color="000000"/>
              <w:right w:val="nil"/>
            </w:tcBorders>
          </w:tcPr>
          <w:p>
            <w:pPr>
              <w:spacing w:before="20" w:after="20"/>
              <w:jc w:val="right"/>
            </w:pPr>
            <w:r>
              <w:rPr>
                <w:rFonts w:ascii="Cambria" w:hAnsi="Cambria" w:cs="Cambria" w:eastAsia="Cambria"/>
                <w:b w:val="0"/>
                <w:i w:val="0"/>
                <w:color w:val="000000"/>
                <w:sz w:val="16"/>
              </w:rPr>
              <w:t>95</w:t>
            </w:r>
          </w:p>
        </w:tc>
        <w:tc>
          <w:tcPr>
            <w:tcW w:w="1814" w:type="dxa"/>
            <w:tcBorders>
              <w:top w:val="nil"/>
              <w:left w:val="nil"/>
              <w:bottom w:val="single" w:sz="8" w:space="0" w:color="000000"/>
              <w:right w:val="nil"/>
            </w:tcBorders>
          </w:tcPr>
          <w:p>
            <w:pPr>
              <w:spacing w:before="20" w:after="20"/>
              <w:jc w:val="right"/>
            </w:pPr>
            <w:r>
              <w:rPr>
                <w:rFonts w:ascii="Cambria" w:hAnsi="Cambria" w:cs="Cambria" w:eastAsia="Cambria"/>
                <w:b w:val="0"/>
                <w:i w:val="0"/>
                <w:color w:val="000000"/>
                <w:sz w:val="16"/>
              </w:rPr>
              <w:t>50.579</w:t>
            </w:r>
          </w:p>
        </w:tc>
        <w:tc>
          <w:tcPr>
            <w:tcW w:w="1474" w:type="dxa"/>
            <w:tcBorders>
              <w:top w:val="nil"/>
              <w:left w:val="nil"/>
              <w:bottom w:val="single" w:sz="8" w:space="0" w:color="000000"/>
              <w:right w:val="nil"/>
            </w:tcBorders>
          </w:tcPr>
          <w:p>
            <w:pPr>
              <w:spacing w:before="20" w:after="20"/>
              <w:jc w:val="right"/>
            </w:pPr>
            <w:r>
              <w:rPr>
                <w:rFonts w:ascii="Cambria" w:hAnsi="Cambria" w:cs="Cambria" w:eastAsia="Cambria"/>
                <w:b w:val="0"/>
                <w:i w:val="0"/>
                <w:color w:val="000000"/>
                <w:sz w:val="16"/>
              </w:rPr>
              <w:t>%14,8</w:t>
            </w:r>
          </w:p>
        </w:tc>
        <w:tc>
          <w:tcPr>
            <w:tcW w:w="1644" w:type="dxa"/>
            <w:tcBorders>
              <w:top w:val="nil"/>
              <w:left w:val="nil"/>
              <w:bottom w:val="single" w:sz="8" w:space="0" w:color="000000"/>
              <w:right w:val="nil"/>
            </w:tcBorders>
          </w:tcPr>
          <w:p>
            <w:pPr>
              <w:spacing w:before="20" w:after="20"/>
              <w:jc w:val="right"/>
            </w:pPr>
            <w:r>
              <w:rPr>
                <w:rFonts w:ascii="Cambria" w:hAnsi="Cambria" w:cs="Cambria" w:eastAsia="Cambria"/>
                <w:b w:val="0"/>
                <w:i w:val="0"/>
                <w:color w:val="000000"/>
                <w:sz w:val="16"/>
              </w:rPr>
              <w:t>1.504</w:t>
            </w:r>
          </w:p>
        </w:tc>
        <w:tc>
          <w:tcPr>
            <w:tcW w:w="2041" w:type="dxa"/>
            <w:tcBorders>
              <w:top w:val="nil"/>
              <w:left w:val="nil"/>
              <w:bottom w:val="single" w:sz="8" w:space="0" w:color="000000"/>
              <w:right w:val="nil"/>
            </w:tcBorders>
          </w:tcPr>
          <w:p>
            <w:pPr>
              <w:spacing w:before="20" w:after="20"/>
              <w:jc w:val="right"/>
            </w:pPr>
            <w:r>
              <w:rPr>
                <w:rFonts w:ascii="Cambria" w:hAnsi="Cambria" w:cs="Cambria" w:eastAsia="Cambria"/>
                <w:b w:val="0"/>
                <w:i w:val="0"/>
                <w:color w:val="000000"/>
                <w:sz w:val="16"/>
              </w:rPr>
              <w:t>16</w:t>
            </w:r>
          </w:p>
        </w:tc>
      </w:tr>
    </w:tbl>
    <w:p>
      <w:pPr>
        <w:spacing w:before="40" w:after="120"/>
        <w:jc w:val="both"/>
        <w:sectPr w:rsidR="006A6232" w:rsidRPr="006A6232" w:rsidSect="00327F76">
          <w:footerReference w:type="default" r:id="rId25"/>
          <w:type w:val="continuous"/>
          <w:pgSz w:w="11906" w:h="16838" w:code="9"/>
          <w:pgMar w:top="1701" w:right="851" w:bottom="1418" w:left="851" w:header="1134" w:footer="851" w:gutter="0"/>
          <w:cols w:space="708"/>
          <w:docGrid w:linePitch="360"/>
        </w:sectPr>
      </w:pPr>
      <w:r>
        <w:rPr>
          <w:rFonts w:ascii="Cambria" w:hAnsi="Cambria" w:cs="Cambria" w:eastAsia="Cambria"/>
          <w:b w:val="0"/>
          <w:i/>
          <w:color w:val="444444"/>
          <w:sz w:val="16"/>
        </w:rPr>
        <w:t>Dağıtımdan sonra doğrulanmıştır: pencere örtüşmesi de hesaba katıldığında herhangi iki bölme arasında paylaşılan hiçbir örnek yoktur ve hiçbir pencere başka bir bölmeye ait koşuya uzanmaz. Temiz pencere skorunun test/eğitim oranı, referans düzenindeki yetmişten 0,48'e düşmektedir.</w:t>
      </w:r>
    </w:p>
    <w:p>
      <w:pPr>
        <w:pStyle w:val="Paragraf"/>
        <w:spacing w:before="120" w:after="0"/>
        <w:jc w:val="both"/>
      </w:pPr>
      <w:r>
        <w:rPr>
          <w:rFonts w:ascii="Cambria" w:hAnsi="Cambria" w:cs="Cambria" w:eastAsia="Cambria"/>
          <w:b w:val="0"/>
          <w:i w:val="0"/>
          <w:color w:val="000000"/>
          <w:sz w:val="20"/>
        </w:rPr>
        <w:t>Gerçek etiketler mevcut olmadığından dört sentetik arıza senaryosu enjekte edilmiştir; Tablo 6'da listelenmişlerdir. Eklem 3 (elbow) ve eklem 5 (wrist 2), en büyük yerçekimi yükünü ve en geniş hareket aralığını taşıdıkları için seçilmiştir. Arızalar hedef bölmenin arıza taşıyan her koşusuna ayrı ayrı enjekte edilir; böylece her senaryo test kümesine 16 bağımsız olay katar. Referans protokolde maske, birleştirilmiş kayıt üzerinde tek bir bitişik bloktu; bu, senaryo başına bir olay veriyor ve daha kötüsü, her senaryoyu kayıttaki sabit bir konuma bağlıyordu. Bir pencere, örneklerinin en az %10'u arıza maskesine denk geldiğinde anomali olarak etiketlenir.</w:t>
      </w:r>
    </w:p>
    <w:p>
      <w:pPr>
        <w:keepNext/>
        <w:spacing w:before="160" w:after="60"/>
        <w:jc w:val="left"/>
      </w:pPr>
      <w:r>
        <w:rPr>
          <w:rFonts w:ascii="Cambria" w:hAnsi="Cambria" w:cs="Cambria" w:eastAsia="Cambria"/>
          <w:b/>
          <w:i w:val="0"/>
          <w:color w:val="000000"/>
          <w:sz w:val="18"/>
        </w:rPr>
        <w:t>Tablo 6.</w:t>
      </w:r>
      <w:r>
        <w:rPr>
          <w:rFonts w:ascii="Cambria" w:hAnsi="Cambria" w:cs="Cambria" w:eastAsia="Cambria"/>
          <w:b w:val="0"/>
          <w:i w:val="0"/>
          <w:color w:val="000000"/>
          <w:sz w:val="18"/>
        </w:rPr>
        <w:t xml:space="preserve"> Sentetik Arıza Senaryoları.</w:t>
      </w:r>
    </w:p>
    <w:tbl>
      <w:tblPr>
        <w:jc w:val="center"/>
        <w:tblLook w:firstColumn="1" w:firstRow="1" w:lastColumn="0" w:lastRow="0" w:noHBand="0" w:noVBand="1" w:val="04A0"/>
        <w:tblW w:w="4734" w:type="dxa"/>
        <w:tblLayout w:type="fixed"/>
      </w:tblPr>
      <w:tblGrid>
        <w:gridCol w:w="1134"/>
        <w:gridCol w:w="1956"/>
        <w:gridCol w:w="850"/>
        <w:gridCol w:w="794"/>
      </w:tblGrid>
      <w:tr>
        <w:tc>
          <w:tcPr>
            <w:tcW w:w="1134"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Senaryo</w:t>
            </w:r>
          </w:p>
        </w:tc>
        <w:tc>
          <w:tcPr>
            <w:tcW w:w="1956"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Etkilenen kanal</w:t>
            </w:r>
          </w:p>
        </w:tc>
        <w:tc>
          <w:tcPr>
            <w:tcW w:w="850"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Genlik</w:t>
            </w:r>
          </w:p>
        </w:tc>
        <w:tc>
          <w:tcPr>
            <w:tcW w:w="794"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Aralık</w:t>
            </w:r>
          </w:p>
        </w:tc>
      </w:tr>
      <w:tr>
        <w:tc>
          <w:tcPr>
            <w:tcW w:w="1134" w:type="dxa"/>
            <w:tcBorders>
              <w:top w:val="single" w:sz="4" w:space="0" w:color="000000"/>
              <w:left w:val="nil"/>
              <w:bottom w:val="nil"/>
              <w:right w:val="nil"/>
            </w:tcBorders>
          </w:tcPr>
          <w:p>
            <w:pPr>
              <w:spacing w:before="20" w:after="20"/>
              <w:jc w:val="left"/>
            </w:pPr>
            <w:r>
              <w:rPr>
                <w:rFonts w:ascii="Cambria" w:hAnsi="Cambria" w:cs="Cambria" w:eastAsia="Cambria"/>
                <w:b w:val="0"/>
                <w:i w:val="0"/>
                <w:color w:val="000000"/>
                <w:sz w:val="16"/>
              </w:rPr>
              <w:t>Motor kayması</w:t>
            </w:r>
          </w:p>
        </w:tc>
        <w:tc>
          <w:tcPr>
            <w:tcW w:w="1956" w:type="dxa"/>
            <w:tcBorders>
              <w:top w:val="single" w:sz="4" w:space="0" w:color="000000"/>
              <w:left w:val="nil"/>
              <w:bottom w:val="nil"/>
              <w:right w:val="nil"/>
            </w:tcBorders>
          </w:tcPr>
          <w:p>
            <w:pPr>
              <w:spacing w:before="20" w:after="20"/>
              <w:jc w:val="left"/>
            </w:pPr>
            <w:r>
              <w:rPr>
                <w:rFonts w:ascii="Cambria" w:hAnsi="Cambria" w:cs="Cambria" w:eastAsia="Cambria"/>
                <w:b w:val="0"/>
                <w:i w:val="0"/>
                <w:color w:val="000000"/>
                <w:sz w:val="16"/>
              </w:rPr>
              <w:t>Eklem 3 torku, doğrusal rampa</w:t>
            </w:r>
          </w:p>
        </w:tc>
        <w:tc>
          <w:tcPr>
            <w:tcW w:w="850" w:type="dxa"/>
            <w:tcBorders>
              <w:top w:val="single" w:sz="4" w:space="0" w:color="000000"/>
              <w:left w:val="nil"/>
              <w:bottom w:val="nil"/>
              <w:right w:val="nil"/>
            </w:tcBorders>
          </w:tcPr>
          <w:p>
            <w:pPr>
              <w:spacing w:before="20" w:after="20"/>
              <w:jc w:val="left"/>
            </w:pPr>
            <w:r>
              <w:rPr>
                <w:rFonts w:ascii="Cambria" w:hAnsi="Cambria" w:cs="Cambria" w:eastAsia="Cambria"/>
                <w:b w:val="0"/>
                <w:i w:val="0"/>
                <w:color w:val="000000"/>
                <w:sz w:val="16"/>
              </w:rPr>
              <w:t>15 Nm</w:t>
            </w:r>
          </w:p>
        </w:tc>
        <w:tc>
          <w:tcPr>
            <w:tcW w:w="794" w:type="dxa"/>
            <w:tcBorders>
              <w:top w:val="single" w:sz="4" w:space="0" w:color="000000"/>
              <w:left w:val="nil"/>
              <w:bottom w:val="nil"/>
              <w:right w:val="nil"/>
            </w:tcBorders>
          </w:tcPr>
          <w:p>
            <w:pPr>
              <w:spacing w:before="20" w:after="20"/>
              <w:jc w:val="left"/>
            </w:pPr>
            <w:r>
              <w:rPr>
                <w:rFonts w:ascii="Cambria" w:hAnsi="Cambria" w:cs="Cambria" w:eastAsia="Cambria"/>
                <w:b w:val="0"/>
                <w:i w:val="0"/>
                <w:color w:val="000000"/>
                <w:sz w:val="16"/>
              </w:rPr>
              <w:t>%30–38</w:t>
            </w:r>
          </w:p>
        </w:tc>
      </w:tr>
      <w:tr>
        <w:tc>
          <w:tcPr>
            <w:tcW w:w="1134" w:type="dxa"/>
            <w:tcBorders>
              <w:top w:val="nil"/>
              <w:left w:val="nil"/>
              <w:bottom w:val="nil"/>
              <w:right w:val="nil"/>
            </w:tcBorders>
          </w:tcPr>
          <w:p>
            <w:pPr>
              <w:spacing w:before="20" w:after="20"/>
              <w:jc w:val="left"/>
            </w:pPr>
            <w:r>
              <w:rPr>
                <w:rFonts w:ascii="Cambria" w:hAnsi="Cambria" w:cs="Cambria" w:eastAsia="Cambria"/>
                <w:b w:val="0"/>
                <w:i w:val="0"/>
                <w:color w:val="000000"/>
                <w:sz w:val="16"/>
              </w:rPr>
              <w:t>Çarpışma</w:t>
            </w:r>
          </w:p>
        </w:tc>
        <w:tc>
          <w:tcPr>
            <w:tcW w:w="1956" w:type="dxa"/>
            <w:tcBorders>
              <w:top w:val="nil"/>
              <w:left w:val="nil"/>
              <w:bottom w:val="nil"/>
              <w:right w:val="nil"/>
            </w:tcBorders>
          </w:tcPr>
          <w:p>
            <w:pPr>
              <w:spacing w:before="20" w:after="20"/>
              <w:jc w:val="left"/>
            </w:pPr>
            <w:r>
              <w:rPr>
                <w:rFonts w:ascii="Cambria" w:hAnsi="Cambria" w:cs="Cambria" w:eastAsia="Cambria"/>
                <w:b w:val="0"/>
                <w:i w:val="0"/>
                <w:color w:val="000000"/>
                <w:sz w:val="16"/>
              </w:rPr>
              <w:t>Tüm KTS kanalları, Gauss darbesi</w:t>
            </w:r>
          </w:p>
        </w:tc>
        <w:tc>
          <w:tcPr>
            <w:tcW w:w="850" w:type="dxa"/>
            <w:tcBorders>
              <w:top w:val="nil"/>
              <w:left w:val="nil"/>
              <w:bottom w:val="nil"/>
              <w:right w:val="nil"/>
            </w:tcBorders>
          </w:tcPr>
          <w:p>
            <w:pPr>
              <w:spacing w:before="20" w:after="20"/>
              <w:jc w:val="left"/>
            </w:pPr>
            <w:r>
              <w:rPr>
                <w:rFonts w:ascii="Cambria" w:hAnsi="Cambria" w:cs="Cambria" w:eastAsia="Cambria"/>
                <w:b w:val="0"/>
                <w:i w:val="0"/>
                <w:color w:val="000000"/>
                <w:sz w:val="16"/>
              </w:rPr>
              <w:t>30 N</w:t>
            </w:r>
          </w:p>
        </w:tc>
        <w:tc>
          <w:tcPr>
            <w:tcW w:w="794" w:type="dxa"/>
            <w:tcBorders>
              <w:top w:val="nil"/>
              <w:left w:val="nil"/>
              <w:bottom w:val="nil"/>
              <w:right w:val="nil"/>
            </w:tcBorders>
          </w:tcPr>
          <w:p>
            <w:pPr>
              <w:spacing w:before="20" w:after="20"/>
              <w:jc w:val="left"/>
            </w:pPr>
            <w:r>
              <w:rPr>
                <w:rFonts w:ascii="Cambria" w:hAnsi="Cambria" w:cs="Cambria" w:eastAsia="Cambria"/>
                <w:b w:val="0"/>
                <w:i w:val="0"/>
                <w:color w:val="000000"/>
                <w:sz w:val="16"/>
              </w:rPr>
              <w:t>merkez %65</w:t>
            </w:r>
          </w:p>
        </w:tc>
      </w:tr>
      <w:tr>
        <w:tc>
          <w:tcPr>
            <w:tcW w:w="1134" w:type="dxa"/>
            <w:tcBorders>
              <w:top w:val="nil"/>
              <w:left w:val="nil"/>
              <w:bottom w:val="nil"/>
              <w:right w:val="nil"/>
            </w:tcBorders>
          </w:tcPr>
          <w:p>
            <w:pPr>
              <w:spacing w:before="20" w:after="20"/>
              <w:jc w:val="left"/>
            </w:pPr>
            <w:r>
              <w:rPr>
                <w:rFonts w:ascii="Cambria" w:hAnsi="Cambria" w:cs="Cambria" w:eastAsia="Cambria"/>
                <w:b w:val="0"/>
                <w:i w:val="0"/>
                <w:color w:val="000000"/>
                <w:sz w:val="16"/>
              </w:rPr>
              <w:t>Gizyazar hatası</w:t>
            </w:r>
          </w:p>
        </w:tc>
        <w:tc>
          <w:tcPr>
            <w:tcW w:w="1956" w:type="dxa"/>
            <w:tcBorders>
              <w:top w:val="nil"/>
              <w:left w:val="nil"/>
              <w:bottom w:val="nil"/>
              <w:right w:val="nil"/>
            </w:tcBorders>
          </w:tcPr>
          <w:p>
            <w:pPr>
              <w:spacing w:before="20" w:after="20"/>
              <w:jc w:val="left"/>
            </w:pPr>
            <w:r>
              <w:rPr>
                <w:rFonts w:ascii="Cambria" w:hAnsi="Cambria" w:cs="Cambria" w:eastAsia="Cambria"/>
                <w:b w:val="0"/>
                <w:i w:val="0"/>
                <w:color w:val="000000"/>
                <w:sz w:val="16"/>
              </w:rPr>
              <w:t>Eklem 5 konumu, basamak</w:t>
            </w:r>
          </w:p>
        </w:tc>
        <w:tc>
          <w:tcPr>
            <w:tcW w:w="850" w:type="dxa"/>
            <w:tcBorders>
              <w:top w:val="nil"/>
              <w:left w:val="nil"/>
              <w:bottom w:val="nil"/>
              <w:right w:val="nil"/>
            </w:tcBorders>
          </w:tcPr>
          <w:p>
            <w:pPr>
              <w:spacing w:before="20" w:after="20"/>
              <w:jc w:val="left"/>
            </w:pPr>
            <w:r>
              <w:rPr>
                <w:rFonts w:ascii="Cambria" w:hAnsi="Cambria" w:cs="Cambria" w:eastAsia="Cambria"/>
                <w:b w:val="0"/>
                <w:i w:val="0"/>
                <w:color w:val="000000"/>
                <w:sz w:val="16"/>
              </w:rPr>
              <w:t>1,5 rad</w:t>
            </w:r>
          </w:p>
        </w:tc>
        <w:tc>
          <w:tcPr>
            <w:tcW w:w="794" w:type="dxa"/>
            <w:tcBorders>
              <w:top w:val="nil"/>
              <w:left w:val="nil"/>
              <w:bottom w:val="nil"/>
              <w:right w:val="nil"/>
            </w:tcBorders>
          </w:tcPr>
          <w:p>
            <w:pPr>
              <w:spacing w:before="20" w:after="20"/>
              <w:jc w:val="left"/>
            </w:pPr>
            <w:r>
              <w:rPr>
                <w:rFonts w:ascii="Cambria" w:hAnsi="Cambria" w:cs="Cambria" w:eastAsia="Cambria"/>
                <w:b w:val="0"/>
                <w:i w:val="0"/>
                <w:color w:val="000000"/>
                <w:sz w:val="16"/>
              </w:rPr>
              <w:t>%92'den</w:t>
            </w:r>
          </w:p>
        </w:tc>
      </w:tr>
      <w:tr>
        <w:tc>
          <w:tcPr>
            <w:tcW w:w="1134" w:type="dxa"/>
            <w:tcBorders>
              <w:top w:val="nil"/>
              <w:left w:val="nil"/>
              <w:bottom w:val="single" w:sz="8" w:space="0" w:color="000000"/>
              <w:right w:val="nil"/>
            </w:tcBorders>
          </w:tcPr>
          <w:p>
            <w:pPr>
              <w:spacing w:before="20" w:after="20"/>
              <w:jc w:val="left"/>
            </w:pPr>
            <w:r>
              <w:rPr>
                <w:rFonts w:ascii="Cambria" w:hAnsi="Cambria" w:cs="Cambria" w:eastAsia="Cambria"/>
                <w:b w:val="0"/>
                <w:i w:val="0"/>
                <w:color w:val="000000"/>
                <w:sz w:val="16"/>
              </w:rPr>
              <w:t>Sensör gürültüsü</w:t>
            </w:r>
          </w:p>
        </w:tc>
        <w:tc>
          <w:tcPr>
            <w:tcW w:w="1956" w:type="dxa"/>
            <w:tcBorders>
              <w:top w:val="nil"/>
              <w:left w:val="nil"/>
              <w:bottom w:val="single" w:sz="8" w:space="0" w:color="000000"/>
              <w:right w:val="nil"/>
            </w:tcBorders>
          </w:tcPr>
          <w:p>
            <w:pPr>
              <w:spacing w:before="20" w:after="20"/>
              <w:jc w:val="left"/>
            </w:pPr>
            <w:r>
              <w:rPr>
                <w:rFonts w:ascii="Cambria" w:hAnsi="Cambria" w:cs="Cambria" w:eastAsia="Cambria"/>
                <w:b w:val="0"/>
                <w:i w:val="0"/>
                <w:color w:val="000000"/>
                <w:sz w:val="16"/>
              </w:rPr>
              <w:t>Tüm KTS kanalları, Gauss gürültüsü</w:t>
            </w:r>
          </w:p>
        </w:tc>
        <w:tc>
          <w:tcPr>
            <w:tcW w:w="850" w:type="dxa"/>
            <w:tcBorders>
              <w:top w:val="nil"/>
              <w:left w:val="nil"/>
              <w:bottom w:val="single" w:sz="8" w:space="0" w:color="000000"/>
              <w:right w:val="nil"/>
            </w:tcBorders>
          </w:tcPr>
          <w:p>
            <w:pPr>
              <w:spacing w:before="20" w:after="20"/>
              <w:jc w:val="left"/>
            </w:pPr>
            <w:r>
              <w:rPr>
                <w:rFonts w:ascii="Cambria" w:hAnsi="Cambria" w:cs="Cambria" w:eastAsia="Cambria"/>
                <w:b w:val="0"/>
                <w:i w:val="0"/>
                <w:color w:val="000000"/>
                <w:sz w:val="16"/>
              </w:rPr>
              <w:t>3,5 N</w:t>
            </w:r>
          </w:p>
        </w:tc>
        <w:tc>
          <w:tcPr>
            <w:tcW w:w="794" w:type="dxa"/>
            <w:tcBorders>
              <w:top w:val="nil"/>
              <w:left w:val="nil"/>
              <w:bottom w:val="single" w:sz="8" w:space="0" w:color="000000"/>
              <w:right w:val="nil"/>
            </w:tcBorders>
          </w:tcPr>
          <w:p>
            <w:pPr>
              <w:spacing w:before="20" w:after="20"/>
              <w:jc w:val="left"/>
            </w:pPr>
            <w:r>
              <w:rPr>
                <w:rFonts w:ascii="Cambria" w:hAnsi="Cambria" w:cs="Cambria" w:eastAsia="Cambria"/>
                <w:b w:val="0"/>
                <w:i w:val="0"/>
                <w:color w:val="000000"/>
                <w:sz w:val="16"/>
              </w:rPr>
              <w:t>%15–23</w:t>
            </w:r>
          </w:p>
        </w:tc>
      </w:tr>
    </w:tbl>
    <w:p>
      <w:pPr>
        <w:spacing w:before="40" w:after="120"/>
        <w:jc w:val="both"/>
      </w:pPr>
      <w:r>
        <w:rPr>
          <w:rFonts w:ascii="Cambria" w:hAnsi="Cambria" w:cs="Cambria" w:eastAsia="Cambria"/>
          <w:b w:val="0"/>
          <w:i/>
          <w:color w:val="444444"/>
          <w:sz w:val="16"/>
        </w:rPr>
        <w:t>Aralık, arızanın enjekte edildiği koşunun bir oranı olarak ifade edilmiştir. Yukarıdaki genlikler referans çalışmanınkilerdir ve ölçülen kanallara uygulanır.</w:t>
      </w:r>
    </w:p>
    <w:p>
      <w:pPr>
        <w:pStyle w:val="Paragraf"/>
        <w:spacing w:before="120" w:after="0"/>
        <w:jc w:val="both"/>
      </w:pPr>
      <w:r>
        <w:rPr>
          <w:rFonts w:ascii="Cambria" w:hAnsi="Cambria" w:cs="Cambria" w:eastAsia="Cambria"/>
          <w:b w:val="0"/>
          <w:i w:val="0"/>
          <w:color w:val="000000"/>
          <w:sz w:val="20"/>
        </w:rPr>
        <w:t>İki enjeksiyon protokolü değerlendirilmektedir. Devralınan protokol her temsil uzayını kendi genliğiyle ayrı ayrı bozar; dolayısıyla kalıntı modeli, ölçümden türetilmiş değil elle seçilmiş bir bozulma alır. Fiziksel protokol yalnız ölçülen kanalları bozar ve kalıntıyı hattın kendisiyle yeniden hesaplar; böylece kalıntıdaki bozulma, ters dinamiğin ve Jacobian aktarımının ürettiği her neyse odur. Kalıntı yeniden hesaplanırken kalibrasyon ofseti temiz hattan dondurulur; enjekte edilmiş veride yeniden uydurmak, dokunulmamış koşuların kalıntısını da kaydırır. Bölüm 4.4 her iki protokolü de raporlar, çünkü birbirleriyle uyuşmamaktadırlar.</w:t>
      </w:r>
    </w:p>
    <w:p>
      <w:pPr>
        <w:pStyle w:val="Balk-1"/>
        <w:keepNext/>
        <w:spacing w:before="160" w:after="40"/>
      </w:pPr>
      <w:r>
        <w:rPr>
          <w:rFonts w:ascii="Cambria" w:hAnsi="Cambria" w:cs="Cambria" w:eastAsia="Cambria"/>
          <w:b/>
          <w:i w:val="0"/>
          <w:color w:val="000000"/>
          <w:sz w:val="20"/>
        </w:rPr>
        <w:t>3.8. Önceki Sayıların Nereden Geldiğinin Doğrulanması</w:t>
      </w:r>
    </w:p>
    <w:p>
      <w:pPr>
        <w:pStyle w:val="Paragraf"/>
        <w:spacing w:before="120" w:after="0"/>
        <w:jc w:val="both"/>
      </w:pPr>
      <w:r>
        <w:rPr>
          <w:rFonts w:ascii="Cambria" w:hAnsi="Cambria" w:cs="Cambria" w:eastAsia="Cambria"/>
          <w:b w:val="0"/>
          <w:i w:val="0"/>
          <w:color w:val="000000"/>
          <w:sz w:val="20"/>
        </w:rPr>
        <w:t>Bir sonucu genişletmeden önce, önceki sayıların neyi ölçtüğünü saptamak gerekir. Bölüm 3.2–3.4 arasındaki ölçüm düzeyi denetimleri tutarlı bir düzene işaret etmekte ve o düzen sınanabilir olmaktadır. Hipotez, önceden yayımlanmış sayıların birimleri karışık bir hattan geldiğidir: τ_ölç amper, τ̂_model newton metre, r_ext newton metre ve döndürülmemiş bir wrench ile hesaplanmış, üçü doğrudan çıkarılmış ve newton metre cinsinden belirtilen arıza genlikleri amper kanallarına çıplak sayılar olarak eklenmiştir. Bir bulgu daha bunu ağırlaştırır: kalıntı üreteci, uyum kalitesi bir eşiğin altında kalan eklemlerde model torkunu sıfırlar ve karışık birimler altında bu koruma altı eklemin hepsinde devreye girerek, hiçbir mesaj vermeden kalıntıyı ölçümün kendisine indirger.</w:t>
      </w:r>
    </w:p>
    <w:p>
      <w:pPr>
        <w:pStyle w:val="Paragraf"/>
        <w:spacing w:before="120" w:after="0"/>
        <w:jc w:val="both"/>
      </w:pPr>
      <w:r>
        <w:rPr>
          <w:rFonts w:ascii="Cambria" w:hAnsi="Cambria" w:cs="Cambria" w:eastAsia="Cambria"/>
          <w:b w:val="0"/>
          <w:i w:val="0"/>
          <w:color w:val="000000"/>
          <w:sz w:val="20"/>
        </w:rPr>
        <w:t>Hipotez yanlışlanabilir bir öngörüde bulunur: o yapılandırmada yeniden kurulduğunda referans çalışmanın imza bulguları geri dönmelidir — özellikle kalıntı modelinin sensör gürültüsüne körlüğü ve anomalilerin yaklaşık dörtte birinin yalnız kalıntı modeliyle tespit edilmesi. Yeniden üretim betiklenmiş olup bu makale için yeniden koşturulmuştur; sonucu Bölüm 4.5'te raporlanmaktadır.</w:t>
      </w:r>
    </w:p>
    <w:p>
      <w:pPr>
        <w:pStyle w:val="Balk-1"/>
        <w:keepNext/>
        <w:spacing w:before="160" w:after="40"/>
      </w:pPr>
      <w:r>
        <w:rPr>
          <w:rFonts w:ascii="Cambria" w:hAnsi="Cambria" w:cs="Cambria" w:eastAsia="Cambria"/>
          <w:b/>
          <w:i w:val="0"/>
          <w:color w:val="000000"/>
          <w:sz w:val="20"/>
        </w:rPr>
        <w:t>3.9. Çevrimiçi Gerçekleme</w:t>
      </w:r>
    </w:p>
    <w:p>
      <w:pPr>
        <w:pStyle w:val="Paragraf"/>
        <w:spacing w:before="120" w:after="0"/>
        <w:jc w:val="both"/>
        <w:sectPr w:rsidR="006A6232" w:rsidRPr="006A6232" w:rsidSect="00327F76">
          <w:footerReference w:type="default" r:id="rId25"/>
          <w:type w:val="continuous"/>
          <w:pgSz w:w="11906" w:h="16838" w:code="9"/>
          <w:pgMar w:top="1701" w:right="851" w:bottom="1418" w:left="851" w:header="1134" w:footer="851" w:gutter="0"/>
          <w:cols w:num="2" w:space="709" w:equalWidth="1"/>
          <w:docGrid w:linePitch="360"/>
        </w:sectPr>
      </w:pPr>
      <w:r>
        <w:rPr>
          <w:rFonts w:ascii="Cambria" w:hAnsi="Cambria" w:cs="Cambria" w:eastAsia="Cambria"/>
          <w:b w:val="0"/>
          <w:i w:val="0"/>
          <w:color w:val="000000"/>
          <w:sz w:val="20"/>
        </w:rPr>
        <w:t>Çevrimiçi sistem çevrimdışı hattan üç yapısal noktada ayrılır ve tasarımı bütünüyle bu üç farkın yönetiminden ibarettir. Nedensellik: bütün bir veri kümesi üzerinden hesaplanan hiçbir şey canlıda kullanılamaz. Zaman bütçesi: 500 Hz'de örnek başına 2 ms, 25 adımla karar başına 50 ms vardır. Süreklilik: çevrimdışı hat veriyi koşulara bölebilirken canlı sistem bir kesintiyi ancak olduktan sonra fark eder ve durumunu sıfırlamak zorundadır. Şekil 2 ortaya çıkan veri yolunu göstermektedir.</w:t>
      </w:r>
    </w:p>
    <w:p>
      <w:pPr>
        <w:keepNext/>
        <w:spacing w:before="120" w:after="40"/>
        <w:jc w:val="center"/>
      </w:pPr>
      <w:r>
        <w:drawing>
          <wp:inline xmlns:a="http://schemas.openxmlformats.org/drawingml/2006/main" xmlns:pic="http://schemas.openxmlformats.org/drawingml/2006/picture">
            <wp:extent cx="6443999" cy="2474200"/>
            <wp:docPr id="2" name="Picture 2"/>
            <wp:cNvGraphicFramePr>
              <a:graphicFrameLocks noChangeAspect="1"/>
            </wp:cNvGraphicFramePr>
            <a:graphic>
              <a:graphicData uri="http://schemas.openxmlformats.org/drawingml/2006/picture">
                <pic:pic>
                  <pic:nvPicPr>
                    <pic:cNvPr id="0" name="fig2_architecture.png"/>
                    <pic:cNvPicPr/>
                  </pic:nvPicPr>
                  <pic:blipFill>
                    <a:blip r:embed="rId29"/>
                    <a:stretch>
                      <a:fillRect/>
                    </a:stretch>
                  </pic:blipFill>
                  <pic:spPr>
                    <a:xfrm>
                      <a:off x="0" y="0"/>
                      <a:ext cx="6443999" cy="2474200"/>
                    </a:xfrm>
                    <a:prstGeom prst="rect"/>
                  </pic:spPr>
                </pic:pic>
              </a:graphicData>
            </a:graphic>
          </wp:inline>
        </w:drawing>
      </w:r>
    </w:p>
    <w:p>
      <w:pPr>
        <w:spacing w:before="0" w:after="120"/>
        <w:jc w:val="center"/>
        <w:sectPr w:rsidR="006A6232" w:rsidRPr="006A6232" w:rsidSect="00327F76">
          <w:footerReference w:type="default" r:id="rId25"/>
          <w:type w:val="continuous"/>
          <w:pgSz w:w="11906" w:h="16838" w:code="9"/>
          <w:pgMar w:top="1701" w:right="851" w:bottom="1418" w:left="851" w:header="1134" w:footer="851" w:gutter="0"/>
          <w:cols w:space="708"/>
          <w:docGrid w:linePitch="360"/>
        </w:sectPr>
      </w:pPr>
      <w:r>
        <w:rPr>
          <w:rFonts w:ascii="Cambria" w:hAnsi="Cambria" w:cs="Cambria" w:eastAsia="Cambria"/>
          <w:b/>
          <w:i w:val="0"/>
          <w:color w:val="000000"/>
          <w:sz w:val="18"/>
        </w:rPr>
        <w:t>Şekil 2.</w:t>
      </w:r>
      <w:r>
        <w:rPr>
          <w:rFonts w:ascii="Cambria" w:hAnsi="Cambria" w:cs="Cambria" w:eastAsia="Cambria"/>
          <w:b w:val="0"/>
          <w:i w:val="0"/>
          <w:color w:val="000000"/>
          <w:sz w:val="18"/>
        </w:rPr>
        <w:t xml:space="preserve"> Çevrimiçi Dedektörün Veri Yolu</w:t>
      </w:r>
      <w:r>
        <w:rPr>
          <w:rFonts w:ascii="Cambria" w:hAnsi="Cambria" w:cs="Cambria" w:eastAsia="Cambria"/>
          <w:b w:val="0"/>
          <w:i w:val="0"/>
          <w:color w:val="444444"/>
          <w:sz w:val="17"/>
        </w:rPr>
        <w:t xml:space="preserve">  robotla alarm arasındaki her aşama karar başına bir kez, saniyede yirmi kez çalışır.</w:t>
      </w:r>
    </w:p>
    <w:p>
      <w:pPr>
        <w:pStyle w:val="Paragraf"/>
        <w:spacing w:before="120" w:after="0"/>
        <w:jc w:val="both"/>
      </w:pPr>
      <w:r>
        <w:rPr>
          <w:rFonts w:ascii="Cambria" w:hAnsi="Cambria" w:cs="Cambria" w:eastAsia="Cambria"/>
          <w:b w:val="0"/>
          <w:i w:val="0"/>
          <w:color w:val="000000"/>
          <w:sz w:val="20"/>
        </w:rPr>
        <w:t>Öznitelik motoru çevrimdışı hesabın örnek-örnek eşdeğeridir. 51 örneklik bir halka tampon tutar ve her yeni örnek için tamponun ortasındaki örneğin özniteliklerini üretir: önceden hesaplanmış katsayılarla iç çarpım olarak uygulanan Savitzky–Golay türevi, akım–tork dönüşümü, ters dinamik değerlendirmesi, taban çerçevesi döndürmesi ve Jacobian aktarımı. Merkezli türev 25 örneklik (50 ms) yapısal bir gecikmeye mal olur; bu, gürültüsüz bir ivmenin bedelidir ve çevrimdışı tanımla birebir aynıdır.</w:t>
      </w:r>
    </w:p>
    <w:p>
      <w:pPr>
        <w:pStyle w:val="Paragraf"/>
        <w:spacing w:before="120" w:after="0"/>
        <w:jc w:val="both"/>
      </w:pPr>
      <w:r>
        <w:rPr>
          <w:rFonts w:ascii="Cambria" w:hAnsi="Cambria" w:cs="Cambria" w:eastAsia="Cambria"/>
          <w:b w:val="0"/>
          <w:i w:val="0"/>
          <w:color w:val="000000"/>
          <w:sz w:val="20"/>
        </w:rPr>
        <w:t>Eşdeğerlik varsayılmak yerine doğrulanmıştır. Hazırlanan veri kümesi çevrimiçi motordan örnek örnek geçirilip çevrimdışı öznitelik dosyasıyla karşılaştırılmıştır: 8 koşu ve 61.524 örnek üzerinde en büyük mutlak farklar tork için 1,4·10⁻¹⁴, model torku için tam sıfır, toplam kalıntı için 8,0·10⁻¹⁵, dışsal için 2,7·10⁻¹⁵ ve içsel kalıntı için 8,9·10⁻¹⁵'tir. Bunlar kayan nokta yuvarlama düzeyleridir; dolayısıyla dağıtılan düğüm, modellerin üzerinde eğitildiği özniteliklerin benzerini değil aynısını görmektedir. Sınama sürtünme terimi etkinken yapılmıştır.</w:t>
      </w:r>
    </w:p>
    <w:p>
      <w:pPr>
        <w:pStyle w:val="Paragraf"/>
        <w:spacing w:before="120" w:after="0"/>
        <w:jc w:val="both"/>
      </w:pPr>
      <w:r>
        <w:rPr>
          <w:rFonts w:ascii="Cambria" w:hAnsi="Cambria" w:cs="Cambria" w:eastAsia="Cambria"/>
          <w:b w:val="0"/>
          <w:i w:val="0"/>
          <w:color w:val="000000"/>
          <w:sz w:val="20"/>
        </w:rPr>
        <w:t>Referans yöntemin üzerine iki isteğe bağlı kural eklenmiştir. Uyarlanabilir kural, birleşik skor son 600 kararın medyan + k·1,4826·MAD değerini aştığında tetiklenir; burada 1,4826·MAD standart sapmanın sağlam bir kestirimidir (Leys, Ley, Klein, Bernard ve Licata, 2013). Bu kural, mutlak bir eşiğin, taban çizgisi o eşiğin çok altında oturan bir koşu içinde skoru yüz kat yükselten bir arızayı göremeyeceği için vardır. Ölçek, neredeyse sabit bir taban çizgisinin kuralı aşırı hassas kılmaması için tabanlanır; taban çizgisi alarm sürerken dondurulur ve dondurma 3 s sonra sona erer, böylece uzun süren bir alarm saldırı değil rejim değişimi sayılır. İkinci kural, alarm verilmeden önce iki ardışık karar (100 ms) gerektirir. Her ikisi de tek bir parametreyle kapatılabilir; bu, referans davranışı birebir geri getirir.</w:t>
      </w:r>
    </w:p>
    <w:p>
      <w:pPr>
        <w:pStyle w:val="Paragraf"/>
        <w:spacing w:before="120" w:after="0"/>
        <w:jc w:val="both"/>
      </w:pPr>
      <w:r>
        <w:rPr>
          <w:rFonts w:ascii="Cambria" w:hAnsi="Cambria" w:cs="Cambria" w:eastAsia="Cambria"/>
          <w:b w:val="0"/>
          <w:i w:val="0"/>
          <w:color w:val="000000"/>
          <w:sz w:val="20"/>
        </w:rPr>
        <w:t>Dedektör, tüm hesabı ROS'tan bağımsız bir çekirdekte tutan bir ROS 2 düğümü olarak paketlenmiştir (Macenski, Foote, Gerkey, Lalancette ve Woodall, 2022); düğüm bunun ince bir sarmalayıcısıdır, dolayısıyla tekrar oynatma sınamaları düğümün gerçekten çalıştırdığı sınıfı sınar. Modeller ONNX'e aktarılır ve ONNX Runtime ile çalıştırılır; oturum başına iki iş parçacığı verilerek aç gözlü bir çıkarımın 500 Hz geri çağırma döngüsünü aç bırakması engellenir. Her karar virgülle ayrılmış bir kayda, her alarm satır tamponlu bir JSON-lines olay kaydına yazılır; Bölüm 4.7'nin gerçek hücre eşikleri bu iki dosyadan yeniden ölçülmüştür.</w:t>
      </w:r>
    </w:p>
    <w:p>
      <w:pPr>
        <w:pStyle w:val="Paragraf"/>
        <w:spacing w:before="120" w:after="0"/>
        <w:jc w:val="both"/>
      </w:pPr>
      <w:r>
        <w:rPr>
          <w:rFonts w:ascii="Cambria" w:hAnsi="Cambria" w:cs="Cambria" w:eastAsia="Cambria"/>
          <w:b w:val="0"/>
          <w:i w:val="0"/>
          <w:color w:val="000000"/>
          <w:sz w:val="20"/>
        </w:rPr>
        <w:t>Dağıtım, üçü de sessiz olan üç bağlantı katmanı ölçümünü açığa çıkarmıştır. Denetleyici yapılandırmasında ilan edilen wrench konusu, çalışan yayıncının kullandığı konu değildir ve yanlış ada abone olmak hiçbir wrench, dolayısıyla hiçbir skor vermez. Eklem durumu konusu üç yayıncıdan üç farklı ad kümesi taşır; bunların içinde UR verisi saniyede yaklaşık 112 UR dışı mesajla birlikte, yedi elemanlı ve karışık sıralı bir kümede gelir. Eklem eşlemesi bu yüzden mesaj başına çözülüp ad kümesi başına önbelleklenmelidir; bir kez çözüp körü körüne uygulamak altı kanalın beşini yanlış eklemden okur. Son olarak ölçülen örnekleme hızı 500 Hz değil 495 Hz'dir; sabit adımlı türev bunu yüzde bir düzeyinde tolere eder.</w:t>
      </w:r>
    </w:p>
    <w:p>
      <w:pPr>
        <w:pStyle w:val="Balk-1"/>
        <w:keepNext/>
        <w:spacing w:before="160" w:after="40"/>
      </w:pPr>
      <w:r>
        <w:rPr>
          <w:rFonts w:ascii="Cambria" w:hAnsi="Cambria" w:cs="Cambria" w:eastAsia="Cambria"/>
          <w:b/>
          <w:i w:val="0"/>
          <w:color w:val="000000"/>
          <w:sz w:val="20"/>
        </w:rPr>
        <w:t>3.10. Operatör Arayüzü</w:t>
      </w:r>
    </w:p>
    <w:p>
      <w:pPr>
        <w:pStyle w:val="Paragraf"/>
        <w:spacing w:before="120" w:after="0"/>
        <w:jc w:val="both"/>
      </w:pPr>
      <w:r>
        <w:rPr>
          <w:rFonts w:ascii="Cambria" w:hAnsi="Cambria" w:cs="Cambria" w:eastAsia="Cambria"/>
          <w:b w:val="0"/>
          <w:i w:val="0"/>
          <w:color w:val="000000"/>
          <w:sz w:val="20"/>
        </w:rPr>
        <w:t>Dedektör, laboratuvarın mevcut web panosuna üçüncü bir sekme olarak eklenmiştir. Bir toplayıcı düğümün karar, alarm ve skor konularına abone olur, 60 saniyelik bir halka tampon tutar ve bunu tarayıcıya 5 Hz'de gönderir. Her toplayıcı kendi tek iş parçacıklı yürütücüsünü çalıştırır: ilk sürümde her iki toplayıcı da paylaşılan genel yürütücüyü kullanıyordu; iki iş parçacığı aynı bekleme kümesinde yarıştı, düğüm çizgeden kayboldu, abonelikler hiçbir şey almadı ve hiçbir hata basılmadı.</w:t>
      </w:r>
    </w:p>
    <w:p>
      <w:pPr>
        <w:pStyle w:val="Paragraf"/>
        <w:spacing w:before="120" w:after="0"/>
        <w:jc w:val="both"/>
      </w:pPr>
      <w:r>
        <w:rPr>
          <w:rFonts w:ascii="Cambria" w:hAnsi="Cambria" w:cs="Cambria" w:eastAsia="Cambria"/>
          <w:b w:val="0"/>
          <w:i w:val="0"/>
          <w:color w:val="000000"/>
          <w:sz w:val="20"/>
        </w:rPr>
        <w:t>Üç arayüz kararı zevkten değil doğrudan ölçümlerden gelmektedir. Alarmlar yükselen kenarda mandallanır ve beş saniye tutulur; çünkü kampanyanın en net doğrulanmış olayı 0,25 saniye — beş karar — sürmüştür ve 5 Hz'de seviye örneklemesi bunu tamamen kaçırır; sentetik 0,25 s alarmlarla yapılan kontrollü bir sınamada kenar yakalama dört olayın dördünü, seviye örneklemesi yalnız ikisini görmüştür. Dikey eksen doğrusaldır ve sabit bir aralık yerine canlı eşiğe göre çerçevelenir; çünkü dedektör yeniden kalibre edildiğinde skor ölçeği değişir ve sabit bir çerçeve tüm izi bir kenara yapıştırır. Logaritmik eksen reddedilmiştir, çünkü eşiğin üstündeki — tek önemli olan — bölgeyi görsel olarak düzleştirir. Olay tablosunda tepe skor birincil, giriş skoru ikincil sütundur; çünkü tepe değeri görülmeden okunan bir giriş değeri, devreye alma sırasında yanlış değerlendirilen bir olaya yol açmıştır — Tablo 14'ün 3. olayı 13,75'te girip 25,04'te tepe yapmaktadır. Operatör etiketleri, dedektörün hiç dokunmadığı ayrı bir dosyaya atomik olarak yazılır ve Bölüm 4.7'nin dayandığı etiketli kümeyi oluşturur. Hem eksen hem de gösterilen model eşikleri, derlenmiş değerlerden değil canlı karar akışından okunur; böylece bir yeniden kalibrasyon, ekranı artık çalışmayan bir yapılandırmayı anlatır hâlde bırakamaz.</w:t>
      </w:r>
    </w:p>
    <w:p>
      <w:pPr>
        <w:pStyle w:val="Balk-1"/>
        <w:keepNext/>
        <w:spacing w:before="160" w:after="40"/>
      </w:pPr>
      <w:r>
        <w:rPr>
          <w:rFonts w:ascii="Cambria" w:hAnsi="Cambria" w:cs="Cambria" w:eastAsia="Cambria"/>
          <w:b/>
          <w:i w:val="0"/>
          <w:color w:val="000000"/>
          <w:sz w:val="20"/>
        </w:rPr>
        <w:t>3.11. Hücrede Eşik Kalibrasyonu</w:t>
      </w:r>
    </w:p>
    <w:p>
      <w:pPr>
        <w:pStyle w:val="Paragraf"/>
        <w:spacing w:before="120" w:after="0"/>
        <w:jc w:val="both"/>
      </w:pPr>
      <w:r>
        <w:rPr>
          <w:rFonts w:ascii="Cambria" w:hAnsi="Cambria" w:cs="Cambria" w:eastAsia="Cambria"/>
          <w:b w:val="0"/>
          <w:i w:val="0"/>
          <w:color w:val="000000"/>
          <w:sz w:val="20"/>
        </w:rPr>
        <w:t>Bölüm 3.6'nın çevrimdışı yordamı (lo, genişlik) ve θ'yı temiz doğrulama pencerelerinden sabitler. Bölüm 4.7 bunların taşınmadığını göstermektedir: modeller, gerçek hücrenin olağan çalışması sırasında eğitim dağılımlarının çok dışındadır; dolayısıyla çevrimdışı bir dağılımın 97. persentiline yerleştirilen bir eşik, hücrenin normal aralığının altında kalır. Dağıtılan sistem bu yüzden aynı üç büyüklüğü hücrede yeniden ölçer; aynı formülü kullanır ve yalnız kestirildikleri kümeyi değiştirir — temiz doğrulama pencereleri yerine robotta kaydedilmiş temiz kararlar.</w:t>
      </w:r>
    </w:p>
    <w:p>
      <w:pPr>
        <w:pStyle w:val="Paragraf"/>
        <w:spacing w:before="120" w:after="0"/>
        <w:jc w:val="both"/>
      </w:pPr>
      <w:r>
        <w:rPr>
          <w:rFonts w:ascii="Cambria" w:hAnsi="Cambria" w:cs="Cambria" w:eastAsia="Cambria"/>
          <w:b w:val="0"/>
          <w:i w:val="0"/>
          <w:color w:val="000000"/>
          <w:sz w:val="20"/>
        </w:rPr>
        <w:t>İki ayrıntı ölçümle zorunlu kılınmıştır. Birincisi, ölçek referans formülün min–maks aralığı değil, her modelin kendi temiz skorlarının 97. persentilidir: hücrede min–maks aralığı Bölüm 4.7'deki yük platosunca belirlenir, bu da kalıntı genişliğini 30,8'e şişirir ve olağan büyüklükteki bir olayı görünmez kılar. İkincisi, kalibrasyon koşusu hücrenin yaptığı her görevi kapsamalıdır. Yalnız muayene çevriminden alınan bir kalibrasyon, pick-and-place görevini aralığının dışında bırakmış ve dedektör normal taşıma sırasında alarm vermiştir. Dağıtılan yapılandırma, her iki görevi kapsayan 15.627 temiz karar üzerinde kalibre edilmiştir.</w:t>
      </w:r>
    </w:p>
    <w:p>
      <w:pPr>
        <w:pStyle w:val="Balk-1"/>
        <w:keepNext/>
        <w:spacing w:before="240" w:after="40"/>
      </w:pPr>
      <w:r>
        <w:rPr>
          <w:rFonts w:ascii="Cambria" w:hAnsi="Cambria" w:cs="Cambria" w:eastAsia="Cambria"/>
          <w:b/>
          <w:i w:val="0"/>
          <w:color w:val="000000"/>
          <w:sz w:val="20"/>
        </w:rPr>
        <w:t>4. Bulgular</w:t>
      </w:r>
    </w:p>
    <w:p>
      <w:pPr>
        <w:pStyle w:val="Balk-1"/>
        <w:keepNext/>
        <w:spacing w:before="160" w:after="40"/>
      </w:pPr>
      <w:r>
        <w:rPr>
          <w:rFonts w:ascii="Cambria" w:hAnsi="Cambria" w:cs="Cambria" w:eastAsia="Cambria"/>
          <w:b/>
          <w:i w:val="0"/>
          <w:color w:val="000000"/>
          <w:sz w:val="20"/>
        </w:rPr>
        <w:t>4.1. Genişletilmiş Hattın Çevrimdışı Başarımı</w:t>
      </w:r>
    </w:p>
    <w:p>
      <w:pPr>
        <w:pStyle w:val="Paragraf"/>
        <w:spacing w:before="120" w:after="0"/>
        <w:jc w:val="both"/>
      </w:pPr>
      <w:r>
        <w:rPr>
          <w:rFonts w:ascii="Cambria" w:hAnsi="Cambria" w:cs="Cambria" w:eastAsia="Cambria"/>
          <w:b w:val="0"/>
          <w:i w:val="0"/>
          <w:color w:val="000000"/>
          <w:sz w:val="20"/>
        </w:rPr>
        <w:t>Genişletilmiş hat, 553'ü (%9,2) anomali olan 6.016 test penceresi üzerinde değerlendirilmiştir; bu pencereler, ne eğitime, ne sürtünme uydurmasına, ne de herhangi bir eşiğin seçimine katkı vermemiş 95 koşudan gelmektedir. Aşağıdaki her sayı beş eğitim tohumunun ortalaması ve standart sapmasıdır. Tablo 7 sonucu, Şekil 3 ise ilgili eğrileri vermektedir.</w:t>
      </w:r>
    </w:p>
    <w:p>
      <w:pPr>
        <w:keepNext/>
        <w:spacing w:before="160" w:after="60"/>
        <w:jc w:val="left"/>
      </w:pPr>
      <w:r>
        <w:rPr>
          <w:rFonts w:ascii="Cambria" w:hAnsi="Cambria" w:cs="Cambria" w:eastAsia="Cambria"/>
          <w:b/>
          <w:i w:val="0"/>
          <w:color w:val="000000"/>
          <w:sz w:val="18"/>
        </w:rPr>
        <w:t>Tablo 7.</w:t>
      </w:r>
      <w:r>
        <w:rPr>
          <w:rFonts w:ascii="Cambria" w:hAnsi="Cambria" w:cs="Cambria" w:eastAsia="Cambria"/>
          <w:b w:val="0"/>
          <w:i w:val="0"/>
          <w:color w:val="000000"/>
          <w:sz w:val="18"/>
        </w:rPr>
        <w:t xml:space="preserve"> Koşu-Ayrık Test Kümesinde Genel Başarım (beş tohum, ort ± s.s.).</w:t>
      </w:r>
    </w:p>
    <w:tbl>
      <w:tblPr>
        <w:jc w:val="center"/>
        <w:tblLook w:firstColumn="1" w:firstRow="1" w:lastColumn="0" w:lastRow="0" w:noHBand="0" w:noVBand="1" w:val="04A0"/>
        <w:tblW w:w="4734" w:type="dxa"/>
        <w:tblLayout w:type="fixed"/>
      </w:tblPr>
      <w:tblGrid>
        <w:gridCol w:w="1644"/>
        <w:gridCol w:w="1077"/>
        <w:gridCol w:w="1077"/>
        <w:gridCol w:w="936"/>
      </w:tblGrid>
      <w:tr>
        <w:tc>
          <w:tcPr>
            <w:tcW w:w="1644"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Model</w:t>
            </w:r>
          </w:p>
        </w:tc>
        <w:tc>
          <w:tcPr>
            <w:tcW w:w="1077"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AUC</w:t>
            </w:r>
          </w:p>
        </w:tc>
        <w:tc>
          <w:tcPr>
            <w:tcW w:w="1077"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PR-AUC</w:t>
            </w:r>
          </w:p>
        </w:tc>
        <w:tc>
          <w:tcPr>
            <w:tcW w:w="936"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En iyi F1</w:t>
            </w:r>
          </w:p>
        </w:tc>
      </w:tr>
      <w:tr>
        <w:tc>
          <w:tcPr>
            <w:tcW w:w="1644" w:type="dxa"/>
            <w:tcBorders>
              <w:top w:val="single" w:sz="4" w:space="0" w:color="000000"/>
              <w:left w:val="nil"/>
              <w:bottom w:val="nil"/>
              <w:right w:val="nil"/>
            </w:tcBorders>
          </w:tcPr>
          <w:p>
            <w:pPr>
              <w:spacing w:before="20" w:after="20"/>
              <w:jc w:val="left"/>
            </w:pPr>
            <w:r>
              <w:rPr>
                <w:rFonts w:ascii="Cambria" w:hAnsi="Cambria" w:cs="Cambria" w:eastAsia="Cambria"/>
                <w:b w:val="0"/>
                <w:i w:val="0"/>
                <w:color w:val="000000"/>
                <w:sz w:val="16"/>
              </w:rPr>
              <w:t>Kalıntı LSTM ÖK</w:t>
            </w:r>
          </w:p>
        </w:tc>
        <w:tc>
          <w:tcPr>
            <w:tcW w:w="1077" w:type="dxa"/>
            <w:tcBorders>
              <w:top w:val="single" w:sz="4" w:space="0" w:color="000000"/>
              <w:left w:val="nil"/>
              <w:bottom w:val="nil"/>
              <w:right w:val="nil"/>
            </w:tcBorders>
          </w:tcPr>
          <w:p>
            <w:pPr>
              <w:spacing w:before="20" w:after="20"/>
              <w:jc w:val="right"/>
            </w:pPr>
            <w:r>
              <w:rPr>
                <w:rFonts w:ascii="Cambria" w:hAnsi="Cambria" w:cs="Cambria" w:eastAsia="Cambria"/>
                <w:b w:val="0"/>
                <w:i w:val="0"/>
                <w:color w:val="000000"/>
                <w:sz w:val="16"/>
              </w:rPr>
              <w:t>0,878 ± 0,005</w:t>
            </w:r>
          </w:p>
        </w:tc>
        <w:tc>
          <w:tcPr>
            <w:tcW w:w="1077" w:type="dxa"/>
            <w:tcBorders>
              <w:top w:val="single" w:sz="4" w:space="0" w:color="000000"/>
              <w:left w:val="nil"/>
              <w:bottom w:val="nil"/>
              <w:right w:val="nil"/>
            </w:tcBorders>
          </w:tcPr>
          <w:p>
            <w:pPr>
              <w:spacing w:before="20" w:after="20"/>
              <w:jc w:val="right"/>
            </w:pPr>
            <w:r>
              <w:rPr>
                <w:rFonts w:ascii="Cambria" w:hAnsi="Cambria" w:cs="Cambria" w:eastAsia="Cambria"/>
                <w:b w:val="0"/>
                <w:i w:val="0"/>
                <w:color w:val="000000"/>
                <w:sz w:val="16"/>
              </w:rPr>
              <w:t>0,653 ± 0,009</w:t>
            </w:r>
          </w:p>
        </w:tc>
        <w:tc>
          <w:tcPr>
            <w:tcW w:w="936" w:type="dxa"/>
            <w:tcBorders>
              <w:top w:val="single" w:sz="4" w:space="0" w:color="000000"/>
              <w:left w:val="nil"/>
              <w:bottom w:val="nil"/>
              <w:right w:val="nil"/>
            </w:tcBorders>
          </w:tcPr>
          <w:p>
            <w:pPr>
              <w:spacing w:before="20" w:after="20"/>
              <w:jc w:val="right"/>
            </w:pPr>
            <w:r>
              <w:rPr>
                <w:rFonts w:ascii="Cambria" w:hAnsi="Cambria" w:cs="Cambria" w:eastAsia="Cambria"/>
                <w:b w:val="0"/>
                <w:i w:val="0"/>
                <w:color w:val="000000"/>
                <w:sz w:val="16"/>
              </w:rPr>
              <w:t>0,628 ± 0,007</w:t>
            </w:r>
          </w:p>
        </w:tc>
      </w:tr>
      <w:tr>
        <w:tc>
          <w:tcPr>
            <w:tcW w:w="1644" w:type="dxa"/>
            <w:tcBorders>
              <w:top w:val="nil"/>
              <w:left w:val="nil"/>
              <w:bottom w:val="nil"/>
              <w:right w:val="nil"/>
            </w:tcBorders>
          </w:tcPr>
          <w:p>
            <w:pPr>
              <w:spacing w:before="20" w:after="20"/>
              <w:jc w:val="left"/>
            </w:pPr>
            <w:r>
              <w:rPr>
                <w:rFonts w:ascii="Cambria" w:hAnsi="Cambria" w:cs="Cambria" w:eastAsia="Cambria"/>
                <w:b w:val="0"/>
                <w:i w:val="0"/>
                <w:color w:val="000000"/>
                <w:sz w:val="16"/>
              </w:rPr>
              <w:t>Ham LSTM ÖK</w:t>
            </w:r>
          </w:p>
        </w:tc>
        <w:tc>
          <w:tcPr>
            <w:tcW w:w="1077" w:type="dxa"/>
            <w:tcBorders>
              <w:top w:val="nil"/>
              <w:left w:val="nil"/>
              <w:bottom w:val="nil"/>
              <w:right w:val="nil"/>
            </w:tcBorders>
          </w:tcPr>
          <w:p>
            <w:pPr>
              <w:spacing w:before="20" w:after="20"/>
              <w:jc w:val="right"/>
            </w:pPr>
            <w:r>
              <w:rPr>
                <w:rFonts w:ascii="Cambria" w:hAnsi="Cambria" w:cs="Cambria" w:eastAsia="Cambria"/>
                <w:b w:val="0"/>
                <w:i w:val="0"/>
                <w:color w:val="000000"/>
                <w:sz w:val="16"/>
              </w:rPr>
              <w:t>0,870 ± 0,008</w:t>
            </w:r>
          </w:p>
        </w:tc>
        <w:tc>
          <w:tcPr>
            <w:tcW w:w="1077" w:type="dxa"/>
            <w:tcBorders>
              <w:top w:val="nil"/>
              <w:left w:val="nil"/>
              <w:bottom w:val="nil"/>
              <w:right w:val="nil"/>
            </w:tcBorders>
          </w:tcPr>
          <w:p>
            <w:pPr>
              <w:spacing w:before="20" w:after="20"/>
              <w:jc w:val="right"/>
            </w:pPr>
            <w:r>
              <w:rPr>
                <w:rFonts w:ascii="Cambria" w:hAnsi="Cambria" w:cs="Cambria" w:eastAsia="Cambria"/>
                <w:b w:val="0"/>
                <w:i w:val="0"/>
                <w:color w:val="000000"/>
                <w:sz w:val="16"/>
              </w:rPr>
              <w:t>0,668 ± 0,009</w:t>
            </w:r>
          </w:p>
        </w:tc>
        <w:tc>
          <w:tcPr>
            <w:tcW w:w="936" w:type="dxa"/>
            <w:tcBorders>
              <w:top w:val="nil"/>
              <w:left w:val="nil"/>
              <w:bottom w:val="nil"/>
              <w:right w:val="nil"/>
            </w:tcBorders>
          </w:tcPr>
          <w:p>
            <w:pPr>
              <w:spacing w:before="20" w:after="20"/>
              <w:jc w:val="right"/>
            </w:pPr>
            <w:r>
              <w:rPr>
                <w:rFonts w:ascii="Cambria" w:hAnsi="Cambria" w:cs="Cambria" w:eastAsia="Cambria"/>
                <w:b w:val="0"/>
                <w:i w:val="0"/>
                <w:color w:val="000000"/>
                <w:sz w:val="16"/>
              </w:rPr>
              <w:t>0,697 ± 0,001</w:t>
            </w:r>
          </w:p>
        </w:tc>
      </w:tr>
      <w:tr>
        <w:tc>
          <w:tcPr>
            <w:tcW w:w="1644" w:type="dxa"/>
            <w:tcBorders>
              <w:top w:val="nil"/>
              <w:left w:val="nil"/>
              <w:bottom w:val="nil"/>
              <w:right w:val="nil"/>
            </w:tcBorders>
          </w:tcPr>
          <w:p>
            <w:pPr>
              <w:spacing w:before="20" w:after="20"/>
              <w:jc w:val="left"/>
            </w:pPr>
            <w:r>
              <w:rPr>
                <w:rFonts w:ascii="Cambria" w:hAnsi="Cambria" w:cs="Cambria" w:eastAsia="Cambria"/>
                <w:b/>
                <w:i w:val="0"/>
                <w:color w:val="000000"/>
                <w:sz w:val="16"/>
              </w:rPr>
              <w:t>Birleşim (0,95/0,05)</w:t>
            </w:r>
          </w:p>
        </w:tc>
        <w:tc>
          <w:tcPr>
            <w:tcW w:w="1077" w:type="dxa"/>
            <w:tcBorders>
              <w:top w:val="nil"/>
              <w:left w:val="nil"/>
              <w:bottom w:val="nil"/>
              <w:right w:val="nil"/>
            </w:tcBorders>
          </w:tcPr>
          <w:p>
            <w:pPr>
              <w:spacing w:before="20" w:after="20"/>
              <w:jc w:val="right"/>
            </w:pPr>
            <w:r>
              <w:rPr>
                <w:rFonts w:ascii="Cambria" w:hAnsi="Cambria" w:cs="Cambria" w:eastAsia="Cambria"/>
                <w:b/>
                <w:i w:val="0"/>
                <w:color w:val="000000"/>
                <w:sz w:val="16"/>
              </w:rPr>
              <w:t>0,969 ± 0,004</w:t>
            </w:r>
          </w:p>
        </w:tc>
        <w:tc>
          <w:tcPr>
            <w:tcW w:w="1077" w:type="dxa"/>
            <w:tcBorders>
              <w:top w:val="nil"/>
              <w:left w:val="nil"/>
              <w:bottom w:val="nil"/>
              <w:right w:val="nil"/>
            </w:tcBorders>
          </w:tcPr>
          <w:p>
            <w:pPr>
              <w:spacing w:before="20" w:after="20"/>
              <w:jc w:val="right"/>
            </w:pPr>
            <w:r>
              <w:rPr>
                <w:rFonts w:ascii="Cambria" w:hAnsi="Cambria" w:cs="Cambria" w:eastAsia="Cambria"/>
                <w:b/>
                <w:i w:val="0"/>
                <w:color w:val="000000"/>
                <w:sz w:val="16"/>
              </w:rPr>
              <w:t>0,857 ± 0,009</w:t>
            </w:r>
          </w:p>
        </w:tc>
        <w:tc>
          <w:tcPr>
            <w:tcW w:w="936" w:type="dxa"/>
            <w:tcBorders>
              <w:top w:val="nil"/>
              <w:left w:val="nil"/>
              <w:bottom w:val="nil"/>
              <w:right w:val="nil"/>
            </w:tcBorders>
          </w:tcPr>
          <w:p>
            <w:pPr>
              <w:spacing w:before="20" w:after="20"/>
              <w:jc w:val="right"/>
            </w:pPr>
            <w:r>
              <w:rPr>
                <w:rFonts w:ascii="Cambria" w:hAnsi="Cambria" w:cs="Cambria" w:eastAsia="Cambria"/>
                <w:b/>
                <w:i w:val="0"/>
                <w:color w:val="000000"/>
                <w:sz w:val="16"/>
              </w:rPr>
              <w:t>0,821 ± 0,006</w:t>
            </w:r>
          </w:p>
        </w:tc>
      </w:tr>
      <w:tr>
        <w:tc>
          <w:tcPr>
            <w:tcW w:w="1644" w:type="dxa"/>
            <w:tcBorders>
              <w:top w:val="nil"/>
              <w:left w:val="nil"/>
              <w:bottom w:val="nil"/>
              <w:right w:val="nil"/>
            </w:tcBorders>
          </w:tcPr>
          <w:p>
            <w:pPr>
              <w:spacing w:before="20" w:after="20"/>
              <w:jc w:val="left"/>
            </w:pPr>
            <w:r>
              <w:rPr>
                <w:rFonts w:ascii="Cambria" w:hAnsi="Cambria" w:cs="Cambria" w:eastAsia="Cambria"/>
                <w:b w:val="0"/>
                <w:i w:val="0"/>
                <w:color w:val="000000"/>
                <w:sz w:val="16"/>
              </w:rPr>
              <w:t>Birleşim MAKS</w:t>
            </w:r>
          </w:p>
        </w:tc>
        <w:tc>
          <w:tcPr>
            <w:tcW w:w="1077" w:type="dxa"/>
            <w:tcBorders>
              <w:top w:val="nil"/>
              <w:left w:val="nil"/>
              <w:bottom w:val="nil"/>
              <w:right w:val="nil"/>
            </w:tcBorders>
          </w:tcPr>
          <w:p>
            <w:pPr>
              <w:spacing w:before="20" w:after="20"/>
              <w:jc w:val="right"/>
            </w:pPr>
            <w:r>
              <w:rPr>
                <w:rFonts w:ascii="Cambria" w:hAnsi="Cambria" w:cs="Cambria" w:eastAsia="Cambria"/>
                <w:b w:val="0"/>
                <w:i w:val="0"/>
                <w:color w:val="000000"/>
                <w:sz w:val="16"/>
              </w:rPr>
              <w:t>0,966 ± 0,004</w:t>
            </w:r>
          </w:p>
        </w:tc>
        <w:tc>
          <w:tcPr>
            <w:tcW w:w="1077" w:type="dxa"/>
            <w:tcBorders>
              <w:top w:val="nil"/>
              <w:left w:val="nil"/>
              <w:bottom w:val="nil"/>
              <w:right w:val="nil"/>
            </w:tcBorders>
          </w:tcPr>
          <w:p>
            <w:pPr>
              <w:spacing w:before="20" w:after="20"/>
              <w:jc w:val="right"/>
            </w:pPr>
            <w:r>
              <w:rPr>
                <w:rFonts w:ascii="Cambria" w:hAnsi="Cambria" w:cs="Cambria" w:eastAsia="Cambria"/>
                <w:b w:val="0"/>
                <w:i w:val="0"/>
                <w:color w:val="000000"/>
                <w:sz w:val="16"/>
              </w:rPr>
              <w:t>0,853 ± 0,010</w:t>
            </w:r>
          </w:p>
        </w:tc>
        <w:tc>
          <w:tcPr>
            <w:tcW w:w="936" w:type="dxa"/>
            <w:tcBorders>
              <w:top w:val="nil"/>
              <w:left w:val="nil"/>
              <w:bottom w:val="nil"/>
              <w:right w:val="nil"/>
            </w:tcBorders>
          </w:tcPr>
          <w:p>
            <w:pPr>
              <w:spacing w:before="20" w:after="20"/>
              <w:jc w:val="right"/>
            </w:pPr>
            <w:r>
              <w:rPr>
                <w:rFonts w:ascii="Cambria" w:hAnsi="Cambria" w:cs="Cambria" w:eastAsia="Cambria"/>
                <w:b w:val="0"/>
                <w:i w:val="0"/>
                <w:color w:val="000000"/>
                <w:sz w:val="16"/>
              </w:rPr>
              <w:t>0,784 ± 0,012</w:t>
            </w:r>
          </w:p>
        </w:tc>
      </w:tr>
      <w:tr>
        <w:tc>
          <w:tcPr>
            <w:tcW w:w="1644" w:type="dxa"/>
            <w:tcBorders>
              <w:top w:val="nil"/>
              <w:left w:val="nil"/>
              <w:bottom w:val="nil"/>
              <w:right w:val="nil"/>
            </w:tcBorders>
          </w:tcPr>
          <w:p>
            <w:pPr>
              <w:spacing w:before="20" w:after="20"/>
              <w:jc w:val="left"/>
            </w:pPr>
            <w:r>
              <w:rPr>
                <w:rFonts w:ascii="Cambria" w:hAnsi="Cambria" w:cs="Cambria" w:eastAsia="Cambria"/>
                <w:b w:val="0"/>
                <w:i w:val="0"/>
                <w:color w:val="000000"/>
                <w:sz w:val="16"/>
              </w:rPr>
              <w:t>Kalıntı norm eşiği</w:t>
            </w:r>
          </w:p>
        </w:tc>
        <w:tc>
          <w:tcPr>
            <w:tcW w:w="1077" w:type="dxa"/>
            <w:tcBorders>
              <w:top w:val="nil"/>
              <w:left w:val="nil"/>
              <w:bottom w:val="nil"/>
              <w:right w:val="nil"/>
            </w:tcBorders>
          </w:tcPr>
          <w:p>
            <w:pPr>
              <w:spacing w:before="20" w:after="20"/>
              <w:jc w:val="right"/>
            </w:pPr>
            <w:r>
              <w:rPr>
                <w:rFonts w:ascii="Cambria" w:hAnsi="Cambria" w:cs="Cambria" w:eastAsia="Cambria"/>
                <w:b w:val="0"/>
                <w:i w:val="0"/>
                <w:color w:val="000000"/>
                <w:sz w:val="16"/>
              </w:rPr>
              <w:t>0,758 ± 0,000</w:t>
            </w:r>
          </w:p>
        </w:tc>
        <w:tc>
          <w:tcPr>
            <w:tcW w:w="1077" w:type="dxa"/>
            <w:tcBorders>
              <w:top w:val="nil"/>
              <w:left w:val="nil"/>
              <w:bottom w:val="nil"/>
              <w:right w:val="nil"/>
            </w:tcBorders>
          </w:tcPr>
          <w:p>
            <w:pPr>
              <w:spacing w:before="20" w:after="20"/>
              <w:jc w:val="right"/>
            </w:pPr>
            <w:r>
              <w:rPr>
                <w:rFonts w:ascii="Cambria" w:hAnsi="Cambria" w:cs="Cambria" w:eastAsia="Cambria"/>
                <w:b w:val="0"/>
                <w:i w:val="0"/>
                <w:color w:val="000000"/>
                <w:sz w:val="16"/>
              </w:rPr>
              <w:t>0,485 ± 0,000</w:t>
            </w:r>
          </w:p>
        </w:tc>
        <w:tc>
          <w:tcPr>
            <w:tcW w:w="936" w:type="dxa"/>
            <w:tcBorders>
              <w:top w:val="nil"/>
              <w:left w:val="nil"/>
              <w:bottom w:val="nil"/>
              <w:right w:val="nil"/>
            </w:tcBorders>
          </w:tcPr>
          <w:p>
            <w:pPr>
              <w:spacing w:before="20" w:after="20"/>
              <w:jc w:val="right"/>
            </w:pPr>
            <w:r>
              <w:rPr>
                <w:rFonts w:ascii="Cambria" w:hAnsi="Cambria" w:cs="Cambria" w:eastAsia="Cambria"/>
                <w:b w:val="0"/>
                <w:i w:val="0"/>
                <w:color w:val="000000"/>
                <w:sz w:val="16"/>
              </w:rPr>
              <w:t>0,495 ± 0,000</w:t>
            </w:r>
          </w:p>
        </w:tc>
      </w:tr>
      <w:tr>
        <w:tc>
          <w:tcPr>
            <w:tcW w:w="1644" w:type="dxa"/>
            <w:tcBorders>
              <w:top w:val="nil"/>
              <w:left w:val="nil"/>
              <w:bottom w:val="nil"/>
              <w:right w:val="nil"/>
            </w:tcBorders>
          </w:tcPr>
          <w:p>
            <w:pPr>
              <w:spacing w:before="20" w:after="20"/>
              <w:jc w:val="left"/>
            </w:pPr>
            <w:r>
              <w:rPr>
                <w:rFonts w:ascii="Cambria" w:hAnsi="Cambria" w:cs="Cambria" w:eastAsia="Cambria"/>
                <w:b w:val="0"/>
                <w:i w:val="0"/>
                <w:color w:val="000000"/>
                <w:sz w:val="16"/>
              </w:rPr>
              <w:t>Isolation Forest</w:t>
            </w:r>
          </w:p>
        </w:tc>
        <w:tc>
          <w:tcPr>
            <w:tcW w:w="1077" w:type="dxa"/>
            <w:tcBorders>
              <w:top w:val="nil"/>
              <w:left w:val="nil"/>
              <w:bottom w:val="nil"/>
              <w:right w:val="nil"/>
            </w:tcBorders>
          </w:tcPr>
          <w:p>
            <w:pPr>
              <w:spacing w:before="20" w:after="20"/>
              <w:jc w:val="right"/>
            </w:pPr>
            <w:r>
              <w:rPr>
                <w:rFonts w:ascii="Cambria" w:hAnsi="Cambria" w:cs="Cambria" w:eastAsia="Cambria"/>
                <w:b w:val="0"/>
                <w:i w:val="0"/>
                <w:color w:val="000000"/>
                <w:sz w:val="16"/>
              </w:rPr>
              <w:t>0,753 ± 0,008</w:t>
            </w:r>
          </w:p>
        </w:tc>
        <w:tc>
          <w:tcPr>
            <w:tcW w:w="1077" w:type="dxa"/>
            <w:tcBorders>
              <w:top w:val="nil"/>
              <w:left w:val="nil"/>
              <w:bottom w:val="nil"/>
              <w:right w:val="nil"/>
            </w:tcBorders>
          </w:tcPr>
          <w:p>
            <w:pPr>
              <w:spacing w:before="20" w:after="20"/>
              <w:jc w:val="right"/>
            </w:pPr>
            <w:r>
              <w:rPr>
                <w:rFonts w:ascii="Cambria" w:hAnsi="Cambria" w:cs="Cambria" w:eastAsia="Cambria"/>
                <w:b w:val="0"/>
                <w:i w:val="0"/>
                <w:color w:val="000000"/>
                <w:sz w:val="16"/>
              </w:rPr>
              <w:t>0,418 ± 0,008</w:t>
            </w:r>
          </w:p>
        </w:tc>
        <w:tc>
          <w:tcPr>
            <w:tcW w:w="936" w:type="dxa"/>
            <w:tcBorders>
              <w:top w:val="nil"/>
              <w:left w:val="nil"/>
              <w:bottom w:val="nil"/>
              <w:right w:val="nil"/>
            </w:tcBorders>
          </w:tcPr>
          <w:p>
            <w:pPr>
              <w:spacing w:before="20" w:after="20"/>
              <w:jc w:val="right"/>
            </w:pPr>
            <w:r>
              <w:rPr>
                <w:rFonts w:ascii="Cambria" w:hAnsi="Cambria" w:cs="Cambria" w:eastAsia="Cambria"/>
                <w:b w:val="0"/>
                <w:i w:val="0"/>
                <w:color w:val="000000"/>
                <w:sz w:val="16"/>
              </w:rPr>
              <w:t>0,415 ± 0,008</w:t>
            </w:r>
          </w:p>
        </w:tc>
      </w:tr>
      <w:tr>
        <w:tc>
          <w:tcPr>
            <w:tcW w:w="1644" w:type="dxa"/>
            <w:tcBorders>
              <w:top w:val="nil"/>
              <w:left w:val="nil"/>
              <w:bottom w:val="single" w:sz="8" w:space="0" w:color="000000"/>
              <w:right w:val="nil"/>
            </w:tcBorders>
          </w:tcPr>
          <w:p>
            <w:pPr>
              <w:spacing w:before="20" w:after="20"/>
              <w:jc w:val="left"/>
            </w:pPr>
            <w:r>
              <w:rPr>
                <w:rFonts w:ascii="Cambria" w:hAnsi="Cambria" w:cs="Cambria" w:eastAsia="Cambria"/>
                <w:b w:val="0"/>
                <w:i w:val="0"/>
                <w:color w:val="000000"/>
                <w:sz w:val="16"/>
              </w:rPr>
              <w:t>One-Class SVM</w:t>
            </w:r>
          </w:p>
        </w:tc>
        <w:tc>
          <w:tcPr>
            <w:tcW w:w="1077" w:type="dxa"/>
            <w:tcBorders>
              <w:top w:val="nil"/>
              <w:left w:val="nil"/>
              <w:bottom w:val="single" w:sz="8" w:space="0" w:color="000000"/>
              <w:right w:val="nil"/>
            </w:tcBorders>
          </w:tcPr>
          <w:p>
            <w:pPr>
              <w:spacing w:before="20" w:after="20"/>
              <w:jc w:val="right"/>
            </w:pPr>
            <w:r>
              <w:rPr>
                <w:rFonts w:ascii="Cambria" w:hAnsi="Cambria" w:cs="Cambria" w:eastAsia="Cambria"/>
                <w:b w:val="0"/>
                <w:i w:val="0"/>
                <w:color w:val="000000"/>
                <w:sz w:val="16"/>
              </w:rPr>
              <w:t>0,844 ± 0,001</w:t>
            </w:r>
          </w:p>
        </w:tc>
        <w:tc>
          <w:tcPr>
            <w:tcW w:w="1077" w:type="dxa"/>
            <w:tcBorders>
              <w:top w:val="nil"/>
              <w:left w:val="nil"/>
              <w:bottom w:val="single" w:sz="8" w:space="0" w:color="000000"/>
              <w:right w:val="nil"/>
            </w:tcBorders>
          </w:tcPr>
          <w:p>
            <w:pPr>
              <w:spacing w:before="20" w:after="20"/>
              <w:jc w:val="right"/>
            </w:pPr>
            <w:r>
              <w:rPr>
                <w:rFonts w:ascii="Cambria" w:hAnsi="Cambria" w:cs="Cambria" w:eastAsia="Cambria"/>
                <w:b w:val="0"/>
                <w:i w:val="0"/>
                <w:color w:val="000000"/>
                <w:sz w:val="16"/>
              </w:rPr>
              <w:t>0,618 ± 0,001</w:t>
            </w:r>
          </w:p>
        </w:tc>
        <w:tc>
          <w:tcPr>
            <w:tcW w:w="936" w:type="dxa"/>
            <w:tcBorders>
              <w:top w:val="nil"/>
              <w:left w:val="nil"/>
              <w:bottom w:val="single" w:sz="8" w:space="0" w:color="000000"/>
              <w:right w:val="nil"/>
            </w:tcBorders>
          </w:tcPr>
          <w:p>
            <w:pPr>
              <w:spacing w:before="20" w:after="20"/>
              <w:jc w:val="right"/>
            </w:pPr>
            <w:r>
              <w:rPr>
                <w:rFonts w:ascii="Cambria" w:hAnsi="Cambria" w:cs="Cambria" w:eastAsia="Cambria"/>
                <w:b w:val="0"/>
                <w:i w:val="0"/>
                <w:color w:val="000000"/>
                <w:sz w:val="16"/>
              </w:rPr>
              <w:t>0,676 ± 0,000</w:t>
            </w:r>
          </w:p>
        </w:tc>
      </w:tr>
    </w:tbl>
    <w:p>
      <w:pPr>
        <w:spacing w:before="40" w:after="120"/>
        <w:jc w:val="both"/>
        <w:sectPr w:rsidR="006A6232" w:rsidRPr="006A6232" w:rsidSect="00327F76">
          <w:footerReference w:type="default" r:id="rId25"/>
          <w:type w:val="continuous"/>
          <w:pgSz w:w="11906" w:h="16838" w:code="9"/>
          <w:pgMar w:top="1701" w:right="851" w:bottom="1418" w:left="851" w:header="1134" w:footer="851" w:gutter="0"/>
          <w:cols w:num="2" w:space="709" w:equalWidth="1"/>
          <w:docGrid w:linePitch="360"/>
        </w:sectPr>
      </w:pPr>
      <w:r>
        <w:rPr>
          <w:rFonts w:ascii="Cambria" w:hAnsi="Cambria" w:cs="Cambria" w:eastAsia="Cambria"/>
          <w:b w:val="0"/>
          <w:i/>
          <w:color w:val="444444"/>
          <w:sz w:val="16"/>
        </w:rPr>
        <w:t>Önceki çalışmanın sayıları bunların yanına konmamıştır; çünkü o değerlendirme, eğitim pencereleriyle örtüşen değerlendirme pencerelerine sahip bir protokol altında ve çok daha büyük, farklı bir pencere kümesi üzerinde yapılmıştır. Karşılaştırma tek bir yerde, Bölüm 4.5'te ele alınmaktadır. O çalışma ayrıca MAKS satırıyla birebir aynı değerleri taşıyan bir OR satırı listeler. OR bir karar düzeyi birleşimidir: sıralama değil ikili çıktı üretir, dolayısıyla AUC, PR-AUC ve En iyi F1 onun için tanımsızdır ve satır aslında MAKS skorunu raporlamaktadır. Çalışma noktası davranışı bunun yerine Bölüm 4.2'de verilmektedir. En iyi F1 tüm eşikler üzerinden maksimumdur ve bu yüzden tahmin etmesi gereken etiketleri gerektirir; yalnız karşılaştırılabilirlik için listelenmiştir, ki Bölüm 3.6 bu nedenle nedensel bir çalışma eşiği tanımlar. Referans yöntemler temiz eğitim koşularında uydurulmuştur.</w:t>
      </w:r>
    </w:p>
    <w:p>
      <w:pPr>
        <w:keepNext/>
        <w:spacing w:before="120" w:after="40"/>
        <w:jc w:val="center"/>
      </w:pPr>
      <w:r>
        <w:drawing>
          <wp:inline xmlns:a="http://schemas.openxmlformats.org/drawingml/2006/main" xmlns:pic="http://schemas.openxmlformats.org/drawingml/2006/picture">
            <wp:extent cx="6443999" cy="3438469"/>
            <wp:docPr id="3" name="Picture 3"/>
            <wp:cNvGraphicFramePr>
              <a:graphicFrameLocks noChangeAspect="1"/>
            </wp:cNvGraphicFramePr>
            <a:graphic>
              <a:graphicData uri="http://schemas.openxmlformats.org/drawingml/2006/picture">
                <pic:pic>
                  <pic:nvPicPr>
                    <pic:cNvPr id="0" name="fig3_pr_roc.png"/>
                    <pic:cNvPicPr/>
                  </pic:nvPicPr>
                  <pic:blipFill>
                    <a:blip r:embed="rId30"/>
                    <a:stretch>
                      <a:fillRect/>
                    </a:stretch>
                  </pic:blipFill>
                  <pic:spPr>
                    <a:xfrm>
                      <a:off x="0" y="0"/>
                      <a:ext cx="6443999" cy="3438469"/>
                    </a:xfrm>
                    <a:prstGeom prst="rect"/>
                  </pic:spPr>
                </pic:pic>
              </a:graphicData>
            </a:graphic>
          </wp:inline>
        </w:drawing>
      </w:r>
    </w:p>
    <w:p>
      <w:pPr>
        <w:spacing w:before="0" w:after="120"/>
        <w:jc w:val="center"/>
        <w:sectPr w:rsidR="006A6232" w:rsidRPr="006A6232" w:rsidSect="00327F76">
          <w:footerReference w:type="default" r:id="rId25"/>
          <w:type w:val="continuous"/>
          <w:pgSz w:w="11906" w:h="16838" w:code="9"/>
          <w:pgMar w:top="1701" w:right="851" w:bottom="1418" w:left="851" w:header="1134" w:footer="851" w:gutter="0"/>
          <w:cols w:space="708"/>
          <w:docGrid w:linePitch="360"/>
        </w:sectPr>
      </w:pPr>
      <w:r>
        <w:rPr>
          <w:rFonts w:ascii="Cambria" w:hAnsi="Cambria" w:cs="Cambria" w:eastAsia="Cambria"/>
          <w:b/>
          <w:i w:val="0"/>
          <w:color w:val="000000"/>
          <w:sz w:val="18"/>
        </w:rPr>
        <w:t>Şekil 3.</w:t>
      </w:r>
      <w:r>
        <w:rPr>
          <w:rFonts w:ascii="Cambria" w:hAnsi="Cambria" w:cs="Cambria" w:eastAsia="Cambria"/>
          <w:b w:val="0"/>
          <w:i w:val="0"/>
          <w:color w:val="000000"/>
          <w:sz w:val="18"/>
        </w:rPr>
        <w:t xml:space="preserve"> Koşu-Ayrık Test Kümesinde Kesinlik–Geri Çağırma ve ROC Eğrileri</w:t>
      </w:r>
      <w:r>
        <w:rPr>
          <w:rFonts w:ascii="Cambria" w:hAnsi="Cambria" w:cs="Cambria" w:eastAsia="Cambria"/>
          <w:b w:val="0"/>
          <w:i w:val="0"/>
          <w:color w:val="444444"/>
          <w:sz w:val="17"/>
        </w:rPr>
        <w:t xml:space="preserve">  6.016 test penceresi, %9,2 anomali, beş tohumdan 1'i. Birleşim her iki eğride de iki tekil modeli baskılar; kesinlik–geri çağırma panelindeki fark daha büyüktür, çünkü ROC sınıf dengesizliğinde iyimserdir.</w:t>
      </w:r>
    </w:p>
    <w:p>
      <w:pPr>
        <w:pStyle w:val="Paragraf"/>
        <w:spacing w:before="120" w:after="0"/>
        <w:jc w:val="both"/>
      </w:pPr>
      <w:r>
        <w:rPr>
          <w:rFonts w:ascii="Cambria" w:hAnsi="Cambria" w:cs="Cambria" w:eastAsia="Cambria"/>
          <w:b w:val="0"/>
          <w:i w:val="0"/>
          <w:color w:val="000000"/>
          <w:sz w:val="20"/>
        </w:rPr>
        <w:t>Nedensel çalışma noktasında birleşik dedektör 0,764 ± 0,086 kesinlik, 0,831 ± 0,055 geri çağırma ve 0,791 ± 0,023 F1 değerine ulaşmaktadır; buna karşılık yalnız ham model için F1 0,627 ± 0,006 ve yalnız kalıntı modeli için 0,614 ± 0,016'dır. Daha iyi tekil modele göre kazanç ΔF1 = +0,164'tür. Temiz pencere skorunun test/eğitim oranı her iki model için de 0,48'dir; referans bölmesinin ürettiği yetmiş katın yerine. Önceki düzenin getirdiği iyimserlik ortadan kalkmıştır.</w:t>
      </w:r>
    </w:p>
    <w:p>
      <w:pPr>
        <w:pStyle w:val="Paragraf"/>
        <w:spacing w:before="120" w:after="0"/>
        <w:jc w:val="both"/>
      </w:pPr>
      <w:r>
        <w:rPr>
          <w:rFonts w:ascii="Cambria" w:hAnsi="Cambria" w:cs="Cambria" w:eastAsia="Cambria"/>
          <w:b w:val="0"/>
          <w:i w:val="0"/>
          <w:color w:val="000000"/>
          <w:sz w:val="20"/>
        </w:rPr>
        <w:t>±0,086'lık kesinlik yayılımı modellerdeki değil eşikteki gürültüdür. Eşiğin değeri beş tohum arasında ortalamasının %46'sı kadar değişmektedir; çünkü o, Bölüm 3.7'nin bölme tasarımınca daraltılmış bir doğrulama dağılımının 97. persentilidir. Eşikten bağımsız olan sıralama ölçütleri 0,01'den az değişmektedir.</w:t>
      </w:r>
    </w:p>
    <w:p>
      <w:pPr>
        <w:pStyle w:val="Balk-1"/>
        <w:keepNext/>
        <w:spacing w:before="160" w:after="40"/>
      </w:pPr>
      <w:r>
        <w:rPr>
          <w:rFonts w:ascii="Cambria" w:hAnsi="Cambria" w:cs="Cambria" w:eastAsia="Cambria"/>
          <w:b/>
          <w:i w:val="0"/>
          <w:color w:val="000000"/>
          <w:sz w:val="20"/>
        </w:rPr>
        <w:t>4.2. Arıza Tipi Asimetrisi ve Tamamlayıcılık</w:t>
      </w:r>
    </w:p>
    <w:p>
      <w:pPr>
        <w:pStyle w:val="Paragraf"/>
        <w:spacing w:before="120" w:after="0"/>
        <w:jc w:val="both"/>
        <w:sectPr w:rsidR="006A6232" w:rsidRPr="006A6232" w:rsidSect="00327F76">
          <w:footerReference w:type="default" r:id="rId25"/>
          <w:type w:val="continuous"/>
          <w:pgSz w:w="11906" w:h="16838" w:code="9"/>
          <w:pgMar w:top="1701" w:right="851" w:bottom="1418" w:left="851" w:header="1134" w:footer="851" w:gutter="0"/>
          <w:cols w:num="2" w:space="709" w:equalWidth="1"/>
          <w:docGrid w:linePitch="360"/>
        </w:sectPr>
      </w:pPr>
      <w:r>
        <w:rPr>
          <w:rFonts w:ascii="Cambria" w:hAnsi="Cambria" w:cs="Cambria" w:eastAsia="Cambria"/>
          <w:b w:val="0"/>
          <w:i w:val="0"/>
          <w:color w:val="000000"/>
          <w:sz w:val="20"/>
        </w:rPr>
        <w:t>Tablo 8 sonucu arıza tipine göre ayırmakta ve AUC ile En iyi F1'i ayrı raporlamaktadır; çünkü bunlar aynı büyüklük değildir ve ayrım okumayı değiştirir: motor kaymasında kalıntı modelinin AUC'si 0,912 iken En iyi F1'i 0,669'dur ve ikincisini birincisiymiş gibi aktarmak sıralama kalitesini geniş bir farkla eksik gösterir.</w:t>
      </w:r>
    </w:p>
    <w:p>
      <w:pPr>
        <w:keepNext/>
        <w:spacing w:before="160" w:after="60"/>
        <w:jc w:val="left"/>
      </w:pPr>
      <w:r>
        <w:rPr>
          <w:rFonts w:ascii="Cambria" w:hAnsi="Cambria" w:cs="Cambria" w:eastAsia="Cambria"/>
          <w:b/>
          <w:i w:val="0"/>
          <w:color w:val="000000"/>
          <w:sz w:val="18"/>
        </w:rPr>
        <w:t>Tablo 8.</w:t>
      </w:r>
      <w:r>
        <w:rPr>
          <w:rFonts w:ascii="Cambria" w:hAnsi="Cambria" w:cs="Cambria" w:eastAsia="Cambria"/>
          <w:b w:val="0"/>
          <w:i w:val="0"/>
          <w:color w:val="000000"/>
          <w:sz w:val="18"/>
        </w:rPr>
        <w:t xml:space="preserve"> Her İki Enjeksiyon Protokolü Altında Arıza Tipine Göre Tespit (AUC, beş tohum).</w:t>
      </w:r>
    </w:p>
    <w:tbl>
      <w:tblPr>
        <w:jc w:val="center"/>
        <w:tblLook w:firstColumn="1" w:firstRow="1" w:lastColumn="0" w:lastRow="0" w:noHBand="0" w:noVBand="1" w:val="04A0"/>
        <w:tblW w:w="10148" w:type="dxa"/>
        <w:tblLayout w:type="fixed"/>
      </w:tblPr>
      <w:tblGrid>
        <w:gridCol w:w="1864"/>
        <w:gridCol w:w="2140"/>
        <w:gridCol w:w="2002"/>
        <w:gridCol w:w="2140"/>
        <w:gridCol w:w="2002"/>
      </w:tblGrid>
      <w:tr>
        <w:tc>
          <w:tcPr>
            <w:tcW w:w="1864"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Senaryo</w:t>
            </w:r>
          </w:p>
        </w:tc>
        <w:tc>
          <w:tcPr>
            <w:tcW w:w="2140"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Devralınan: kalıntı</w:t>
            </w:r>
          </w:p>
        </w:tc>
        <w:tc>
          <w:tcPr>
            <w:tcW w:w="2002"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Devralınan: ham</w:t>
            </w:r>
          </w:p>
        </w:tc>
        <w:tc>
          <w:tcPr>
            <w:tcW w:w="2140"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Fiziksel: kalıntı</w:t>
            </w:r>
          </w:p>
        </w:tc>
        <w:tc>
          <w:tcPr>
            <w:tcW w:w="2002"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Fiziksel: ham</w:t>
            </w:r>
          </w:p>
        </w:tc>
      </w:tr>
      <w:tr>
        <w:tc>
          <w:tcPr>
            <w:tcW w:w="1864" w:type="dxa"/>
            <w:tcBorders>
              <w:top w:val="single" w:sz="4" w:space="0" w:color="000000"/>
              <w:left w:val="nil"/>
              <w:bottom w:val="nil"/>
              <w:right w:val="nil"/>
            </w:tcBorders>
          </w:tcPr>
          <w:p>
            <w:pPr>
              <w:spacing w:before="20" w:after="20"/>
              <w:jc w:val="left"/>
            </w:pPr>
            <w:r>
              <w:rPr>
                <w:rFonts w:ascii="Cambria" w:hAnsi="Cambria" w:cs="Cambria" w:eastAsia="Cambria"/>
                <w:b w:val="0"/>
                <w:i w:val="0"/>
                <w:color w:val="000000"/>
                <w:sz w:val="16"/>
              </w:rPr>
              <w:t>Motor kayması</w:t>
            </w:r>
          </w:p>
        </w:tc>
        <w:tc>
          <w:tcPr>
            <w:tcW w:w="2140" w:type="dxa"/>
            <w:tcBorders>
              <w:top w:val="single" w:sz="4" w:space="0" w:color="000000"/>
              <w:left w:val="nil"/>
              <w:bottom w:val="nil"/>
              <w:right w:val="nil"/>
            </w:tcBorders>
          </w:tcPr>
          <w:p>
            <w:pPr>
              <w:spacing w:before="20" w:after="20"/>
              <w:jc w:val="right"/>
            </w:pPr>
            <w:r>
              <w:rPr>
                <w:rFonts w:ascii="Cambria" w:hAnsi="Cambria" w:cs="Cambria" w:eastAsia="Cambria"/>
                <w:b w:val="0"/>
                <w:i w:val="0"/>
                <w:color w:val="000000"/>
                <w:sz w:val="16"/>
              </w:rPr>
              <w:t>0,912 ± 0,013</w:t>
            </w:r>
          </w:p>
        </w:tc>
        <w:tc>
          <w:tcPr>
            <w:tcW w:w="2002" w:type="dxa"/>
            <w:tcBorders>
              <w:top w:val="single" w:sz="4" w:space="0" w:color="000000"/>
              <w:left w:val="nil"/>
              <w:bottom w:val="nil"/>
              <w:right w:val="nil"/>
            </w:tcBorders>
          </w:tcPr>
          <w:p>
            <w:pPr>
              <w:spacing w:before="20" w:after="20"/>
              <w:jc w:val="right"/>
            </w:pPr>
            <w:r>
              <w:rPr>
                <w:rFonts w:ascii="Cambria" w:hAnsi="Cambria" w:cs="Cambria" w:eastAsia="Cambria"/>
                <w:b w:val="0"/>
                <w:i w:val="0"/>
                <w:color w:val="000000"/>
                <w:sz w:val="16"/>
              </w:rPr>
              <w:t>0,652 ± 0,014</w:t>
            </w:r>
          </w:p>
        </w:tc>
        <w:tc>
          <w:tcPr>
            <w:tcW w:w="2140" w:type="dxa"/>
            <w:tcBorders>
              <w:top w:val="single" w:sz="4" w:space="0" w:color="000000"/>
              <w:left w:val="nil"/>
              <w:bottom w:val="nil"/>
              <w:right w:val="nil"/>
            </w:tcBorders>
          </w:tcPr>
          <w:p>
            <w:pPr>
              <w:spacing w:before="20" w:after="20"/>
              <w:jc w:val="right"/>
            </w:pPr>
            <w:r>
              <w:rPr>
                <w:rFonts w:ascii="Cambria" w:hAnsi="Cambria" w:cs="Cambria" w:eastAsia="Cambria"/>
                <w:b w:val="0"/>
                <w:i w:val="0"/>
                <w:color w:val="000000"/>
                <w:sz w:val="16"/>
              </w:rPr>
              <w:t>0,846 ± 0,021</w:t>
            </w:r>
          </w:p>
        </w:tc>
        <w:tc>
          <w:tcPr>
            <w:tcW w:w="2002" w:type="dxa"/>
            <w:tcBorders>
              <w:top w:val="single" w:sz="4" w:space="0" w:color="000000"/>
              <w:left w:val="nil"/>
              <w:bottom w:val="nil"/>
              <w:right w:val="nil"/>
            </w:tcBorders>
          </w:tcPr>
          <w:p>
            <w:pPr>
              <w:spacing w:before="20" w:after="20"/>
              <w:jc w:val="right"/>
            </w:pPr>
            <w:r>
              <w:rPr>
                <w:rFonts w:ascii="Cambria" w:hAnsi="Cambria" w:cs="Cambria" w:eastAsia="Cambria"/>
                <w:b w:val="0"/>
                <w:i w:val="0"/>
                <w:color w:val="000000"/>
                <w:sz w:val="16"/>
              </w:rPr>
              <w:t>0,652 ± 0,014</w:t>
            </w:r>
          </w:p>
        </w:tc>
      </w:tr>
      <w:tr>
        <w:tc>
          <w:tcPr>
            <w:tcW w:w="1864" w:type="dxa"/>
            <w:tcBorders>
              <w:top w:val="nil"/>
              <w:left w:val="nil"/>
              <w:bottom w:val="nil"/>
              <w:right w:val="nil"/>
            </w:tcBorders>
          </w:tcPr>
          <w:p>
            <w:pPr>
              <w:spacing w:before="20" w:after="20"/>
              <w:jc w:val="left"/>
            </w:pPr>
            <w:r>
              <w:rPr>
                <w:rFonts w:ascii="Cambria" w:hAnsi="Cambria" w:cs="Cambria" w:eastAsia="Cambria"/>
                <w:b w:val="0"/>
                <w:i w:val="0"/>
                <w:color w:val="000000"/>
                <w:sz w:val="16"/>
              </w:rPr>
              <w:t>Çarpışma</w:t>
            </w:r>
          </w:p>
        </w:tc>
        <w:tc>
          <w:tcPr>
            <w:tcW w:w="2140" w:type="dxa"/>
            <w:tcBorders>
              <w:top w:val="nil"/>
              <w:left w:val="nil"/>
              <w:bottom w:val="nil"/>
              <w:right w:val="nil"/>
            </w:tcBorders>
          </w:tcPr>
          <w:p>
            <w:pPr>
              <w:spacing w:before="20" w:after="20"/>
              <w:jc w:val="right"/>
            </w:pPr>
            <w:r>
              <w:rPr>
                <w:rFonts w:ascii="Cambria" w:hAnsi="Cambria" w:cs="Cambria" w:eastAsia="Cambria"/>
                <w:b w:val="0"/>
                <w:i w:val="0"/>
                <w:color w:val="000000"/>
                <w:sz w:val="16"/>
              </w:rPr>
              <w:t>1,000 ± 0,000</w:t>
            </w:r>
          </w:p>
        </w:tc>
        <w:tc>
          <w:tcPr>
            <w:tcW w:w="2002" w:type="dxa"/>
            <w:tcBorders>
              <w:top w:val="nil"/>
              <w:left w:val="nil"/>
              <w:bottom w:val="nil"/>
              <w:right w:val="nil"/>
            </w:tcBorders>
          </w:tcPr>
          <w:p>
            <w:pPr>
              <w:spacing w:before="20" w:after="20"/>
              <w:jc w:val="right"/>
            </w:pPr>
            <w:r>
              <w:rPr>
                <w:rFonts w:ascii="Cambria" w:hAnsi="Cambria" w:cs="Cambria" w:eastAsia="Cambria"/>
                <w:b w:val="0"/>
                <w:i w:val="0"/>
                <w:color w:val="000000"/>
                <w:sz w:val="16"/>
              </w:rPr>
              <w:t>1,000 ± 0,000</w:t>
            </w:r>
          </w:p>
        </w:tc>
        <w:tc>
          <w:tcPr>
            <w:tcW w:w="2140" w:type="dxa"/>
            <w:tcBorders>
              <w:top w:val="nil"/>
              <w:left w:val="nil"/>
              <w:bottom w:val="nil"/>
              <w:right w:val="nil"/>
            </w:tcBorders>
          </w:tcPr>
          <w:p>
            <w:pPr>
              <w:spacing w:before="20" w:after="20"/>
              <w:jc w:val="right"/>
            </w:pPr>
            <w:r>
              <w:rPr>
                <w:rFonts w:ascii="Cambria" w:hAnsi="Cambria" w:cs="Cambria" w:eastAsia="Cambria"/>
                <w:b w:val="0"/>
                <w:i w:val="0"/>
                <w:color w:val="000000"/>
                <w:sz w:val="16"/>
              </w:rPr>
              <w:t>1,000 ± 0,000</w:t>
            </w:r>
          </w:p>
        </w:tc>
        <w:tc>
          <w:tcPr>
            <w:tcW w:w="2002" w:type="dxa"/>
            <w:tcBorders>
              <w:top w:val="nil"/>
              <w:left w:val="nil"/>
              <w:bottom w:val="nil"/>
              <w:right w:val="nil"/>
            </w:tcBorders>
          </w:tcPr>
          <w:p>
            <w:pPr>
              <w:spacing w:before="20" w:after="20"/>
              <w:jc w:val="right"/>
            </w:pPr>
            <w:r>
              <w:rPr>
                <w:rFonts w:ascii="Cambria" w:hAnsi="Cambria" w:cs="Cambria" w:eastAsia="Cambria"/>
                <w:b w:val="0"/>
                <w:i w:val="0"/>
                <w:color w:val="000000"/>
                <w:sz w:val="16"/>
              </w:rPr>
              <w:t>1,000 ± 0,000</w:t>
            </w:r>
          </w:p>
        </w:tc>
      </w:tr>
      <w:tr>
        <w:tc>
          <w:tcPr>
            <w:tcW w:w="1864" w:type="dxa"/>
            <w:tcBorders>
              <w:top w:val="nil"/>
              <w:left w:val="nil"/>
              <w:bottom w:val="nil"/>
              <w:right w:val="nil"/>
            </w:tcBorders>
          </w:tcPr>
          <w:p>
            <w:pPr>
              <w:spacing w:before="20" w:after="20"/>
              <w:jc w:val="left"/>
            </w:pPr>
            <w:r>
              <w:rPr>
                <w:rFonts w:ascii="Cambria" w:hAnsi="Cambria" w:cs="Cambria" w:eastAsia="Cambria"/>
                <w:b w:val="0"/>
                <w:i w:val="0"/>
                <w:color w:val="000000"/>
                <w:sz w:val="16"/>
              </w:rPr>
              <w:t>Gizyazar hatası</w:t>
            </w:r>
          </w:p>
        </w:tc>
        <w:tc>
          <w:tcPr>
            <w:tcW w:w="2140" w:type="dxa"/>
            <w:tcBorders>
              <w:top w:val="nil"/>
              <w:left w:val="nil"/>
              <w:bottom w:val="nil"/>
              <w:right w:val="nil"/>
            </w:tcBorders>
          </w:tcPr>
          <w:p>
            <w:pPr>
              <w:spacing w:before="20" w:after="20"/>
              <w:jc w:val="right"/>
            </w:pPr>
            <w:r>
              <w:rPr>
                <w:rFonts w:ascii="Cambria" w:hAnsi="Cambria" w:cs="Cambria" w:eastAsia="Cambria"/>
                <w:b w:val="0"/>
                <w:i w:val="0"/>
                <w:color w:val="000000"/>
                <w:sz w:val="16"/>
              </w:rPr>
              <w:t>1,000 ± 0,000</w:t>
            </w:r>
          </w:p>
        </w:tc>
        <w:tc>
          <w:tcPr>
            <w:tcW w:w="2002" w:type="dxa"/>
            <w:tcBorders>
              <w:top w:val="nil"/>
              <w:left w:val="nil"/>
              <w:bottom w:val="nil"/>
              <w:right w:val="nil"/>
            </w:tcBorders>
          </w:tcPr>
          <w:p>
            <w:pPr>
              <w:spacing w:before="20" w:after="20"/>
              <w:jc w:val="right"/>
            </w:pPr>
            <w:r>
              <w:rPr>
                <w:rFonts w:ascii="Cambria" w:hAnsi="Cambria" w:cs="Cambria" w:eastAsia="Cambria"/>
                <w:b w:val="0"/>
                <w:i w:val="0"/>
                <w:color w:val="000000"/>
                <w:sz w:val="16"/>
              </w:rPr>
              <w:t>0,832 ± 0,041</w:t>
            </w:r>
          </w:p>
        </w:tc>
        <w:tc>
          <w:tcPr>
            <w:tcW w:w="2140" w:type="dxa"/>
            <w:tcBorders>
              <w:top w:val="nil"/>
              <w:left w:val="nil"/>
              <w:bottom w:val="nil"/>
              <w:right w:val="nil"/>
            </w:tcBorders>
          </w:tcPr>
          <w:p>
            <w:pPr>
              <w:spacing w:before="20" w:after="20"/>
              <w:jc w:val="right"/>
            </w:pPr>
            <w:r>
              <w:rPr>
                <w:rFonts w:ascii="Cambria" w:hAnsi="Cambria" w:cs="Cambria" w:eastAsia="Cambria"/>
                <w:b w:val="0"/>
                <w:i w:val="0"/>
                <w:color w:val="000000"/>
                <w:sz w:val="16"/>
              </w:rPr>
              <w:t>0,783 ± 0,052</w:t>
            </w:r>
          </w:p>
        </w:tc>
        <w:tc>
          <w:tcPr>
            <w:tcW w:w="2002" w:type="dxa"/>
            <w:tcBorders>
              <w:top w:val="nil"/>
              <w:left w:val="nil"/>
              <w:bottom w:val="nil"/>
              <w:right w:val="nil"/>
            </w:tcBorders>
          </w:tcPr>
          <w:p>
            <w:pPr>
              <w:spacing w:before="20" w:after="20"/>
              <w:jc w:val="right"/>
            </w:pPr>
            <w:r>
              <w:rPr>
                <w:rFonts w:ascii="Cambria" w:hAnsi="Cambria" w:cs="Cambria" w:eastAsia="Cambria"/>
                <w:b w:val="0"/>
                <w:i w:val="0"/>
                <w:color w:val="000000"/>
                <w:sz w:val="16"/>
              </w:rPr>
              <w:t>0,832 ± 0,041</w:t>
            </w:r>
          </w:p>
        </w:tc>
      </w:tr>
      <w:tr>
        <w:tc>
          <w:tcPr>
            <w:tcW w:w="1864" w:type="dxa"/>
            <w:tcBorders>
              <w:top w:val="nil"/>
              <w:left w:val="nil"/>
              <w:bottom w:val="single" w:sz="8" w:space="0" w:color="000000"/>
              <w:right w:val="nil"/>
            </w:tcBorders>
          </w:tcPr>
          <w:p>
            <w:pPr>
              <w:spacing w:before="20" w:after="20"/>
              <w:jc w:val="left"/>
            </w:pPr>
            <w:r>
              <w:rPr>
                <w:rFonts w:ascii="Cambria" w:hAnsi="Cambria" w:cs="Cambria" w:eastAsia="Cambria"/>
                <w:b w:val="0"/>
                <w:i w:val="0"/>
                <w:color w:val="000000"/>
                <w:sz w:val="16"/>
              </w:rPr>
              <w:t>Sensör gürültüsü</w:t>
            </w:r>
          </w:p>
        </w:tc>
        <w:tc>
          <w:tcPr>
            <w:tcW w:w="2140" w:type="dxa"/>
            <w:tcBorders>
              <w:top w:val="nil"/>
              <w:left w:val="nil"/>
              <w:bottom w:val="single" w:sz="8" w:space="0" w:color="000000"/>
              <w:right w:val="nil"/>
            </w:tcBorders>
          </w:tcPr>
          <w:p>
            <w:pPr>
              <w:spacing w:before="20" w:after="20"/>
              <w:jc w:val="right"/>
            </w:pPr>
            <w:r>
              <w:rPr>
                <w:rFonts w:ascii="Cambria" w:hAnsi="Cambria" w:cs="Cambria" w:eastAsia="Cambria"/>
                <w:b w:val="0"/>
                <w:i w:val="0"/>
                <w:color w:val="000000"/>
                <w:sz w:val="16"/>
              </w:rPr>
              <w:t>0,682 ± 0,006</w:t>
            </w:r>
          </w:p>
        </w:tc>
        <w:tc>
          <w:tcPr>
            <w:tcW w:w="2002" w:type="dxa"/>
            <w:tcBorders>
              <w:top w:val="nil"/>
              <w:left w:val="nil"/>
              <w:bottom w:val="single" w:sz="8" w:space="0" w:color="000000"/>
              <w:right w:val="nil"/>
            </w:tcBorders>
          </w:tcPr>
          <w:p>
            <w:pPr>
              <w:spacing w:before="20" w:after="20"/>
              <w:jc w:val="right"/>
            </w:pPr>
            <w:r>
              <w:rPr>
                <w:rFonts w:ascii="Cambria" w:hAnsi="Cambria" w:cs="Cambria" w:eastAsia="Cambria"/>
                <w:b w:val="0"/>
                <w:i w:val="0"/>
                <w:color w:val="000000"/>
                <w:sz w:val="16"/>
              </w:rPr>
              <w:t>1,000 ± 0,000</w:t>
            </w:r>
          </w:p>
        </w:tc>
        <w:tc>
          <w:tcPr>
            <w:tcW w:w="2140" w:type="dxa"/>
            <w:tcBorders>
              <w:top w:val="nil"/>
              <w:left w:val="nil"/>
              <w:bottom w:val="single" w:sz="8" w:space="0" w:color="000000"/>
              <w:right w:val="nil"/>
            </w:tcBorders>
          </w:tcPr>
          <w:p>
            <w:pPr>
              <w:spacing w:before="20" w:after="20"/>
              <w:jc w:val="right"/>
            </w:pPr>
            <w:r>
              <w:rPr>
                <w:rFonts w:ascii="Cambria" w:hAnsi="Cambria" w:cs="Cambria" w:eastAsia="Cambria"/>
                <w:b w:val="0"/>
                <w:i w:val="0"/>
                <w:color w:val="000000"/>
                <w:sz w:val="16"/>
              </w:rPr>
              <w:t>1,000 ± 0,000</w:t>
            </w:r>
          </w:p>
        </w:tc>
        <w:tc>
          <w:tcPr>
            <w:tcW w:w="2002" w:type="dxa"/>
            <w:tcBorders>
              <w:top w:val="nil"/>
              <w:left w:val="nil"/>
              <w:bottom w:val="single" w:sz="8" w:space="0" w:color="000000"/>
              <w:right w:val="nil"/>
            </w:tcBorders>
          </w:tcPr>
          <w:p>
            <w:pPr>
              <w:spacing w:before="20" w:after="20"/>
              <w:jc w:val="right"/>
            </w:pPr>
            <w:r>
              <w:rPr>
                <w:rFonts w:ascii="Cambria" w:hAnsi="Cambria" w:cs="Cambria" w:eastAsia="Cambria"/>
                <w:b w:val="0"/>
                <w:i w:val="0"/>
                <w:color w:val="000000"/>
                <w:sz w:val="16"/>
              </w:rPr>
              <w:t>1,000 ± 0,000</w:t>
            </w:r>
          </w:p>
        </w:tc>
      </w:tr>
    </w:tbl>
    <w:p>
      <w:pPr>
        <w:spacing w:before="40" w:after="120"/>
        <w:jc w:val="both"/>
      </w:pPr>
      <w:r>
        <w:rPr>
          <w:rFonts w:ascii="Cambria" w:hAnsi="Cambria" w:cs="Cambria" w:eastAsia="Cambria"/>
          <w:b w:val="0"/>
          <w:i/>
          <w:color w:val="444444"/>
          <w:sz w:val="16"/>
        </w:rPr>
        <w:t>Ham sütunlar iki protokolde birebir aynıdır; çünkü ham model ölçülen kanalları okur ve her iki protokol de o kanalları aynı biçimde bozar. Yalnız kalıntı sütunları değişmekte ve epeyce değişmektedir — yorumu Bölüm 4.4'tedir.</w:t>
      </w:r>
    </w:p>
    <w:p>
      <w:pPr>
        <w:keepNext/>
        <w:spacing w:before="120" w:after="40"/>
        <w:jc w:val="center"/>
      </w:pPr>
      <w:r>
        <w:drawing>
          <wp:inline xmlns:a="http://schemas.openxmlformats.org/drawingml/2006/main" xmlns:pic="http://schemas.openxmlformats.org/drawingml/2006/picture">
            <wp:extent cx="6443999" cy="3390699"/>
            <wp:docPr id="4" name="Picture 4"/>
            <wp:cNvGraphicFramePr>
              <a:graphicFrameLocks noChangeAspect="1"/>
            </wp:cNvGraphicFramePr>
            <a:graphic>
              <a:graphicData uri="http://schemas.openxmlformats.org/drawingml/2006/picture">
                <pic:pic>
                  <pic:nvPicPr>
                    <pic:cNvPr id="0" name="fig4_fusion_value.png"/>
                    <pic:cNvPicPr/>
                  </pic:nvPicPr>
                  <pic:blipFill>
                    <a:blip r:embed="rId31"/>
                    <a:stretch>
                      <a:fillRect/>
                    </a:stretch>
                  </pic:blipFill>
                  <pic:spPr>
                    <a:xfrm>
                      <a:off x="0" y="0"/>
                      <a:ext cx="6443999" cy="3390699"/>
                    </a:xfrm>
                    <a:prstGeom prst="rect"/>
                  </pic:spPr>
                </pic:pic>
              </a:graphicData>
            </a:graphic>
          </wp:inline>
        </w:drawing>
      </w:r>
    </w:p>
    <w:p>
      <w:pPr>
        <w:spacing w:before="0" w:after="120"/>
        <w:jc w:val="center"/>
        <w:sectPr w:rsidR="006A6232" w:rsidRPr="006A6232" w:rsidSect="00327F76">
          <w:footerReference w:type="default" r:id="rId25"/>
          <w:type w:val="continuous"/>
          <w:pgSz w:w="11906" w:h="16838" w:code="9"/>
          <w:pgMar w:top="1701" w:right="851" w:bottom="1418" w:left="851" w:header="1134" w:footer="851" w:gutter="0"/>
          <w:cols w:space="708"/>
          <w:docGrid w:linePitch="360"/>
        </w:sectPr>
      </w:pPr>
      <w:r>
        <w:rPr>
          <w:rFonts w:ascii="Cambria" w:hAnsi="Cambria" w:cs="Cambria" w:eastAsia="Cambria"/>
          <w:b/>
          <w:i w:val="0"/>
          <w:color w:val="000000"/>
          <w:sz w:val="18"/>
        </w:rPr>
        <w:t>Şekil 4.</w:t>
      </w:r>
      <w:r>
        <w:rPr>
          <w:rFonts w:ascii="Cambria" w:hAnsi="Cambria" w:cs="Cambria" w:eastAsia="Cambria"/>
          <w:b w:val="0"/>
          <w:i w:val="0"/>
          <w:color w:val="000000"/>
          <w:sz w:val="18"/>
        </w:rPr>
        <w:t xml:space="preserve"> Birleşimin Değeri</w:t>
      </w:r>
      <w:r>
        <w:rPr>
          <w:rFonts w:ascii="Cambria" w:hAnsi="Cambria" w:cs="Cambria" w:eastAsia="Cambria"/>
          <w:b w:val="0"/>
          <w:i w:val="0"/>
          <w:color w:val="444444"/>
          <w:sz w:val="17"/>
        </w:rPr>
        <w:t xml:space="preserve">  (a) kalıntı ağırlığına karşı sıralama kalitesi; ağırlık seçilmemiş, 0,95'te önsel olarak sabitlenmiştir. (b) devralınan enjeksiyon protokolü altında arıza tipine göre tespit.</w:t>
      </w:r>
    </w:p>
    <w:p>
      <w:pPr>
        <w:pStyle w:val="Paragraf"/>
        <w:spacing w:before="120" w:after="0"/>
        <w:jc w:val="both"/>
      </w:pPr>
      <w:r>
        <w:rPr>
          <w:rFonts w:ascii="Cambria" w:hAnsi="Cambria" w:cs="Cambria" w:eastAsia="Cambria"/>
          <w:b w:val="0"/>
          <w:i w:val="0"/>
          <w:color w:val="000000"/>
          <w:sz w:val="20"/>
        </w:rPr>
        <w:t>Devralınan protokol altında birleşimi güdüleyen asimetri mevcut ve nettir. Gizyazar hatasında kalıntı özkodlayıcısı kusursuzken ham model 0,832'ye ulaşır; sensör gürültüsünde roller tersine döner, kalıntı modeli 0,682'ye düşerken ham model kusursuzdur. Pencere düzeyinde, her model kendi 97. persentil eşiğini kullanırken, anomali pencerelerinin %27,6'sı yalnız kalıntı modeliyle ve %28,0'ı yalnız ham modelle tespit edilmektedir; referans çalışmada bu oranlar %24,1 ve %25,9'dur. %15,9'u ise hiçbiri tarafından yakalanmamaktadır. OR birleşiminin geri çağırması 0,841'dir. Tablo 9 karar düzeyi ablasyonunu vermektedir.</w:t>
      </w:r>
    </w:p>
    <w:p>
      <w:pPr>
        <w:keepNext/>
        <w:spacing w:before="160" w:after="60"/>
        <w:jc w:val="left"/>
      </w:pPr>
      <w:r>
        <w:rPr>
          <w:rFonts w:ascii="Cambria" w:hAnsi="Cambria" w:cs="Cambria" w:eastAsia="Cambria"/>
          <w:b/>
          <w:i w:val="0"/>
          <w:color w:val="000000"/>
          <w:sz w:val="18"/>
        </w:rPr>
        <w:t>Tablo 9.</w:t>
      </w:r>
      <w:r>
        <w:rPr>
          <w:rFonts w:ascii="Cambria" w:hAnsi="Cambria" w:cs="Cambria" w:eastAsia="Cambria"/>
          <w:b w:val="0"/>
          <w:i w:val="0"/>
          <w:color w:val="000000"/>
          <w:sz w:val="18"/>
        </w:rPr>
        <w:t xml:space="preserve"> Çalışma Noktasında Karar Düzeyi Ablasyonu (beş tohum, ort ± s.s.).</w:t>
      </w:r>
    </w:p>
    <w:tbl>
      <w:tblPr>
        <w:jc w:val="center"/>
        <w:tblLook w:firstColumn="1" w:firstRow="1" w:lastColumn="0" w:lastRow="0" w:noHBand="0" w:noVBand="1" w:val="04A0"/>
        <w:tblW w:w="4734" w:type="dxa"/>
        <w:tblLayout w:type="fixed"/>
      </w:tblPr>
      <w:tblGrid>
        <w:gridCol w:w="1729"/>
        <w:gridCol w:w="1106"/>
        <w:gridCol w:w="992"/>
        <w:gridCol w:w="907"/>
      </w:tblGrid>
      <w:tr>
        <w:tc>
          <w:tcPr>
            <w:tcW w:w="1729"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Yapılandırma</w:t>
            </w:r>
          </w:p>
        </w:tc>
        <w:tc>
          <w:tcPr>
            <w:tcW w:w="1106"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Kesinlik</w:t>
            </w:r>
          </w:p>
        </w:tc>
        <w:tc>
          <w:tcPr>
            <w:tcW w:w="992"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Geri çağırma</w:t>
            </w:r>
          </w:p>
        </w:tc>
        <w:tc>
          <w:tcPr>
            <w:tcW w:w="907"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F1</w:t>
            </w:r>
          </w:p>
        </w:tc>
      </w:tr>
      <w:tr>
        <w:tc>
          <w:tcPr>
            <w:tcW w:w="1729" w:type="dxa"/>
            <w:tcBorders>
              <w:top w:val="single" w:sz="4" w:space="0" w:color="000000"/>
              <w:left w:val="nil"/>
              <w:bottom w:val="nil"/>
              <w:right w:val="nil"/>
            </w:tcBorders>
          </w:tcPr>
          <w:p>
            <w:pPr>
              <w:spacing w:before="20" w:after="20"/>
              <w:jc w:val="left"/>
            </w:pPr>
            <w:r>
              <w:rPr>
                <w:rFonts w:ascii="Cambria" w:hAnsi="Cambria" w:cs="Cambria" w:eastAsia="Cambria"/>
                <w:b w:val="0"/>
                <w:i w:val="0"/>
                <w:color w:val="000000"/>
                <w:sz w:val="16"/>
              </w:rPr>
              <w:t>Yalnız ham  (w_kal = 0,00)</w:t>
            </w:r>
          </w:p>
        </w:tc>
        <w:tc>
          <w:tcPr>
            <w:tcW w:w="1106" w:type="dxa"/>
            <w:tcBorders>
              <w:top w:val="single" w:sz="4" w:space="0" w:color="000000"/>
              <w:left w:val="nil"/>
              <w:bottom w:val="nil"/>
              <w:right w:val="nil"/>
            </w:tcBorders>
          </w:tcPr>
          <w:p>
            <w:pPr>
              <w:spacing w:before="20" w:after="20"/>
              <w:jc w:val="right"/>
            </w:pPr>
            <w:r>
              <w:rPr>
                <w:rFonts w:ascii="Cambria" w:hAnsi="Cambria" w:cs="Cambria" w:eastAsia="Cambria"/>
                <w:b w:val="0"/>
                <w:i w:val="0"/>
                <w:color w:val="000000"/>
                <w:sz w:val="16"/>
              </w:rPr>
              <w:t>0,704 ± 0,015</w:t>
            </w:r>
          </w:p>
        </w:tc>
        <w:tc>
          <w:tcPr>
            <w:tcW w:w="992" w:type="dxa"/>
            <w:tcBorders>
              <w:top w:val="single" w:sz="4" w:space="0" w:color="000000"/>
              <w:left w:val="nil"/>
              <w:bottom w:val="nil"/>
              <w:right w:val="nil"/>
            </w:tcBorders>
          </w:tcPr>
          <w:p>
            <w:pPr>
              <w:spacing w:before="20" w:after="20"/>
              <w:jc w:val="right"/>
            </w:pPr>
            <w:r>
              <w:rPr>
                <w:rFonts w:ascii="Cambria" w:hAnsi="Cambria" w:cs="Cambria" w:eastAsia="Cambria"/>
                <w:b w:val="0"/>
                <w:i w:val="0"/>
                <w:color w:val="000000"/>
                <w:sz w:val="16"/>
              </w:rPr>
              <w:t>0,565 ± 0,002</w:t>
            </w:r>
          </w:p>
        </w:tc>
        <w:tc>
          <w:tcPr>
            <w:tcW w:w="907" w:type="dxa"/>
            <w:tcBorders>
              <w:top w:val="single" w:sz="4" w:space="0" w:color="000000"/>
              <w:left w:val="nil"/>
              <w:bottom w:val="nil"/>
              <w:right w:val="nil"/>
            </w:tcBorders>
          </w:tcPr>
          <w:p>
            <w:pPr>
              <w:spacing w:before="20" w:after="20"/>
              <w:jc w:val="right"/>
            </w:pPr>
            <w:r>
              <w:rPr>
                <w:rFonts w:ascii="Cambria" w:hAnsi="Cambria" w:cs="Cambria" w:eastAsia="Cambria"/>
                <w:b w:val="0"/>
                <w:i w:val="0"/>
                <w:color w:val="000000"/>
                <w:sz w:val="16"/>
              </w:rPr>
              <w:t>0,627 ± 0,006</w:t>
            </w:r>
          </w:p>
        </w:tc>
      </w:tr>
      <w:tr>
        <w:tc>
          <w:tcPr>
            <w:tcW w:w="1729" w:type="dxa"/>
            <w:tcBorders>
              <w:top w:val="nil"/>
              <w:left w:val="nil"/>
              <w:bottom w:val="nil"/>
              <w:right w:val="nil"/>
            </w:tcBorders>
          </w:tcPr>
          <w:p>
            <w:pPr>
              <w:spacing w:before="20" w:after="20"/>
              <w:jc w:val="left"/>
            </w:pPr>
            <w:r>
              <w:rPr>
                <w:rFonts w:ascii="Cambria" w:hAnsi="Cambria" w:cs="Cambria" w:eastAsia="Cambria"/>
                <w:b w:val="0"/>
                <w:i w:val="0"/>
                <w:color w:val="000000"/>
                <w:sz w:val="16"/>
              </w:rPr>
              <w:t>Yalnız kalıntı  (w_kal = 1,00)</w:t>
            </w:r>
          </w:p>
        </w:tc>
        <w:tc>
          <w:tcPr>
            <w:tcW w:w="1106" w:type="dxa"/>
            <w:tcBorders>
              <w:top w:val="nil"/>
              <w:left w:val="nil"/>
              <w:bottom w:val="nil"/>
              <w:right w:val="nil"/>
            </w:tcBorders>
          </w:tcPr>
          <w:p>
            <w:pPr>
              <w:spacing w:before="20" w:after="20"/>
              <w:jc w:val="right"/>
            </w:pPr>
            <w:r>
              <w:rPr>
                <w:rFonts w:ascii="Cambria" w:hAnsi="Cambria" w:cs="Cambria" w:eastAsia="Cambria"/>
                <w:b w:val="0"/>
                <w:i w:val="0"/>
                <w:color w:val="000000"/>
                <w:sz w:val="16"/>
              </w:rPr>
              <w:t>0,697 ± 0,111</w:t>
            </w:r>
          </w:p>
        </w:tc>
        <w:tc>
          <w:tcPr>
            <w:tcW w:w="992" w:type="dxa"/>
            <w:tcBorders>
              <w:top w:val="nil"/>
              <w:left w:val="nil"/>
              <w:bottom w:val="nil"/>
              <w:right w:val="nil"/>
            </w:tcBorders>
          </w:tcPr>
          <w:p>
            <w:pPr>
              <w:spacing w:before="20" w:after="20"/>
              <w:jc w:val="right"/>
            </w:pPr>
            <w:r>
              <w:rPr>
                <w:rFonts w:ascii="Cambria" w:hAnsi="Cambria" w:cs="Cambria" w:eastAsia="Cambria"/>
                <w:b w:val="0"/>
                <w:i w:val="0"/>
                <w:color w:val="000000"/>
                <w:sz w:val="16"/>
              </w:rPr>
              <w:t>0,562 ± 0,058</w:t>
            </w:r>
          </w:p>
        </w:tc>
        <w:tc>
          <w:tcPr>
            <w:tcW w:w="907" w:type="dxa"/>
            <w:tcBorders>
              <w:top w:val="nil"/>
              <w:left w:val="nil"/>
              <w:bottom w:val="nil"/>
              <w:right w:val="nil"/>
            </w:tcBorders>
          </w:tcPr>
          <w:p>
            <w:pPr>
              <w:spacing w:before="20" w:after="20"/>
              <w:jc w:val="right"/>
            </w:pPr>
            <w:r>
              <w:rPr>
                <w:rFonts w:ascii="Cambria" w:hAnsi="Cambria" w:cs="Cambria" w:eastAsia="Cambria"/>
                <w:b w:val="0"/>
                <w:i w:val="0"/>
                <w:color w:val="000000"/>
                <w:sz w:val="16"/>
              </w:rPr>
              <w:t>0,614 ± 0,016</w:t>
            </w:r>
          </w:p>
        </w:tc>
      </w:tr>
      <w:tr>
        <w:tc>
          <w:tcPr>
            <w:tcW w:w="1729" w:type="dxa"/>
            <w:tcBorders>
              <w:top w:val="nil"/>
              <w:left w:val="nil"/>
              <w:bottom w:val="nil"/>
              <w:right w:val="nil"/>
            </w:tcBorders>
          </w:tcPr>
          <w:p>
            <w:pPr>
              <w:spacing w:before="20" w:after="20"/>
              <w:jc w:val="left"/>
            </w:pPr>
            <w:r>
              <w:rPr>
                <w:rFonts w:ascii="Cambria" w:hAnsi="Cambria" w:cs="Cambria" w:eastAsia="Cambria"/>
                <w:b w:val="0"/>
                <w:i w:val="0"/>
                <w:color w:val="000000"/>
                <w:sz w:val="16"/>
              </w:rPr>
              <w:t>OR  (karar düzeyi)</w:t>
            </w:r>
          </w:p>
        </w:tc>
        <w:tc>
          <w:tcPr>
            <w:tcW w:w="1106" w:type="dxa"/>
            <w:tcBorders>
              <w:top w:val="nil"/>
              <w:left w:val="nil"/>
              <w:bottom w:val="nil"/>
              <w:right w:val="nil"/>
            </w:tcBorders>
          </w:tcPr>
          <w:p>
            <w:pPr>
              <w:spacing w:before="20" w:after="20"/>
              <w:jc w:val="right"/>
            </w:pPr>
            <w:r>
              <w:rPr>
                <w:rFonts w:ascii="Cambria" w:hAnsi="Cambria" w:cs="Cambria" w:eastAsia="Cambria"/>
                <w:b w:val="0"/>
                <w:i w:val="0"/>
                <w:color w:val="000000"/>
                <w:sz w:val="16"/>
              </w:rPr>
              <w:t>0,701 ± 0,047</w:t>
            </w:r>
          </w:p>
        </w:tc>
        <w:tc>
          <w:tcPr>
            <w:tcW w:w="992" w:type="dxa"/>
            <w:tcBorders>
              <w:top w:val="nil"/>
              <w:left w:val="nil"/>
              <w:bottom w:val="nil"/>
              <w:right w:val="nil"/>
            </w:tcBorders>
          </w:tcPr>
          <w:p>
            <w:pPr>
              <w:spacing w:before="20" w:after="20"/>
              <w:jc w:val="right"/>
            </w:pPr>
            <w:r>
              <w:rPr>
                <w:rFonts w:ascii="Cambria" w:hAnsi="Cambria" w:cs="Cambria" w:eastAsia="Cambria"/>
                <w:b w:val="0"/>
                <w:i w:val="0"/>
                <w:color w:val="000000"/>
                <w:sz w:val="16"/>
              </w:rPr>
              <w:t>0,841 ± 0,058</w:t>
            </w:r>
          </w:p>
        </w:tc>
        <w:tc>
          <w:tcPr>
            <w:tcW w:w="907" w:type="dxa"/>
            <w:tcBorders>
              <w:top w:val="nil"/>
              <w:left w:val="nil"/>
              <w:bottom w:val="nil"/>
              <w:right w:val="nil"/>
            </w:tcBorders>
          </w:tcPr>
          <w:p>
            <w:pPr>
              <w:spacing w:before="20" w:after="20"/>
              <w:jc w:val="right"/>
            </w:pPr>
            <w:r>
              <w:rPr>
                <w:rFonts w:ascii="Cambria" w:hAnsi="Cambria" w:cs="Cambria" w:eastAsia="Cambria"/>
                <w:b w:val="0"/>
                <w:i w:val="0"/>
                <w:color w:val="000000"/>
                <w:sz w:val="16"/>
              </w:rPr>
              <w:t>0,762 ± 0,013</w:t>
            </w:r>
          </w:p>
        </w:tc>
      </w:tr>
      <w:tr>
        <w:tc>
          <w:tcPr>
            <w:tcW w:w="1729" w:type="dxa"/>
            <w:tcBorders>
              <w:top w:val="nil"/>
              <w:left w:val="nil"/>
              <w:bottom w:val="single" w:sz="8" w:space="0" w:color="000000"/>
              <w:right w:val="nil"/>
            </w:tcBorders>
          </w:tcPr>
          <w:p>
            <w:pPr>
              <w:spacing w:before="20" w:after="20"/>
              <w:jc w:val="left"/>
            </w:pPr>
            <w:r>
              <w:rPr>
                <w:rFonts w:ascii="Cambria" w:hAnsi="Cambria" w:cs="Cambria" w:eastAsia="Cambria"/>
                <w:b/>
                <w:i w:val="0"/>
                <w:color w:val="000000"/>
                <w:sz w:val="16"/>
              </w:rPr>
              <w:t>Birleşim  (w_kal = 0,95)</w:t>
            </w:r>
          </w:p>
        </w:tc>
        <w:tc>
          <w:tcPr>
            <w:tcW w:w="1106" w:type="dxa"/>
            <w:tcBorders>
              <w:top w:val="nil"/>
              <w:left w:val="nil"/>
              <w:bottom w:val="single" w:sz="8" w:space="0" w:color="000000"/>
              <w:right w:val="nil"/>
            </w:tcBorders>
          </w:tcPr>
          <w:p>
            <w:pPr>
              <w:spacing w:before="20" w:after="20"/>
              <w:jc w:val="right"/>
            </w:pPr>
            <w:r>
              <w:rPr>
                <w:rFonts w:ascii="Cambria" w:hAnsi="Cambria" w:cs="Cambria" w:eastAsia="Cambria"/>
                <w:b/>
                <w:i w:val="0"/>
                <w:color w:val="000000"/>
                <w:sz w:val="16"/>
              </w:rPr>
              <w:t>0,764 ± 0,086</w:t>
            </w:r>
          </w:p>
        </w:tc>
        <w:tc>
          <w:tcPr>
            <w:tcW w:w="992" w:type="dxa"/>
            <w:tcBorders>
              <w:top w:val="nil"/>
              <w:left w:val="nil"/>
              <w:bottom w:val="single" w:sz="8" w:space="0" w:color="000000"/>
              <w:right w:val="nil"/>
            </w:tcBorders>
          </w:tcPr>
          <w:p>
            <w:pPr>
              <w:spacing w:before="20" w:after="20"/>
              <w:jc w:val="right"/>
            </w:pPr>
            <w:r>
              <w:rPr>
                <w:rFonts w:ascii="Cambria" w:hAnsi="Cambria" w:cs="Cambria" w:eastAsia="Cambria"/>
                <w:b/>
                <w:i w:val="0"/>
                <w:color w:val="000000"/>
                <w:sz w:val="16"/>
              </w:rPr>
              <w:t>0,831 ± 0,055</w:t>
            </w:r>
          </w:p>
        </w:tc>
        <w:tc>
          <w:tcPr>
            <w:tcW w:w="907" w:type="dxa"/>
            <w:tcBorders>
              <w:top w:val="nil"/>
              <w:left w:val="nil"/>
              <w:bottom w:val="single" w:sz="8" w:space="0" w:color="000000"/>
              <w:right w:val="nil"/>
            </w:tcBorders>
          </w:tcPr>
          <w:p>
            <w:pPr>
              <w:spacing w:before="20" w:after="20"/>
              <w:jc w:val="right"/>
            </w:pPr>
            <w:r>
              <w:rPr>
                <w:rFonts w:ascii="Cambria" w:hAnsi="Cambria" w:cs="Cambria" w:eastAsia="Cambria"/>
                <w:b/>
                <w:i w:val="0"/>
                <w:color w:val="000000"/>
                <w:sz w:val="16"/>
              </w:rPr>
              <w:t>0,791 ± 0,023</w:t>
            </w:r>
          </w:p>
        </w:tc>
      </w:tr>
    </w:tbl>
    <w:p>
      <w:pPr>
        <w:spacing w:before="40" w:after="120"/>
        <w:jc w:val="both"/>
      </w:pPr>
      <w:r>
        <w:rPr>
          <w:rFonts w:ascii="Cambria" w:hAnsi="Cambria" w:cs="Cambria" w:eastAsia="Cambria"/>
          <w:b w:val="0"/>
          <w:i/>
          <w:color w:val="444444"/>
          <w:sz w:val="16"/>
        </w:rPr>
        <w:t>Devralınan enjeksiyon protokolü. Daha iyi tekil modele göre kazanç ΔF1 = +0,164'tür; referans çalışma farklı bir mutlak düzeyde ve örtüşen pencereli bir protokol altında +0,161 raporlamaktadır.</w:t>
      </w:r>
    </w:p>
    <w:p>
      <w:pPr>
        <w:pStyle w:val="Balk-1"/>
        <w:keepNext/>
        <w:spacing w:before="160" w:after="40"/>
      </w:pPr>
      <w:r>
        <w:rPr>
          <w:rFonts w:ascii="Cambria" w:hAnsi="Cambria" w:cs="Cambria" w:eastAsia="Cambria"/>
          <w:b/>
          <w:i w:val="0"/>
          <w:color w:val="000000"/>
          <w:sz w:val="20"/>
        </w:rPr>
        <w:t>4.3. Birleşim Ağırlığına Duyarlılık</w:t>
      </w:r>
    </w:p>
    <w:p>
      <w:pPr>
        <w:pStyle w:val="Paragraf"/>
        <w:spacing w:before="120" w:after="0"/>
        <w:jc w:val="both"/>
      </w:pPr>
      <w:r>
        <w:rPr>
          <w:rFonts w:ascii="Cambria" w:hAnsi="Cambria" w:cs="Cambria" w:eastAsia="Cambria"/>
          <w:b w:val="0"/>
          <w:i w:val="0"/>
          <w:color w:val="000000"/>
          <w:sz w:val="20"/>
        </w:rPr>
        <w:t>Ağırlık w_kal = 0,95'te önsel olarak sabitlenmiştir (Bölüm 3.6); dolayısıyla aşağıdaki tarama bir seçim yapmaz, duyarlılık ölçer. Şekil 4(a) yaklaşık [0,25, 0,95] aralığında geniş bir plato göstermektedir; bu, referans çalışmanın raporladığı kararlı bölgeyi yeniden üretmekte ve ham model tamamen elendiğinde keskin bir düşüşle bitmektedir. Devralınan protokol altında w_kal = 0,95'teki birleşik PR-AUC 0,857 ± 0,009 iken saf kalıntı dedektörü için 0,653 ± 0,009'dur; yani ham modele verilen yüzde beşlik ağırlık +0,204 PR-AUC ile ilişkilidir. Daha iyi tekil modele göre marj olan +0,189 ± 0,009, beş tohumun her birinde pozitiftir.</w:t>
      </w:r>
    </w:p>
    <w:p>
      <w:pPr>
        <w:pStyle w:val="Paragraf"/>
        <w:spacing w:before="120" w:after="0"/>
        <w:jc w:val="both"/>
      </w:pPr>
      <w:r>
        <w:rPr>
          <w:rFonts w:ascii="Cambria" w:hAnsi="Cambria" w:cs="Cambria" w:eastAsia="Cambria"/>
          <w:b w:val="0"/>
          <w:i w:val="0"/>
          <w:color w:val="000000"/>
          <w:sz w:val="20"/>
        </w:rPr>
        <w:t>İki bağımsız denetim her iki modelin de gerçekten çalıştığını doğrulamaktadır. Yapısal olarak, referans yöntemin her kuralı dağıtılan karar yoluna eşlenmektedir. İşlevsel olarak, her ONNX oturumunun skorlama yöntemi sarmalanıp 6 koşu ve 5 senaryo boyunca sayılmıştır: 13.160 karar, 13.160 kalıntı modeli çağrısı ve 13.160 ham model çağrısı üretmiştir; dolayısıyla hiçbir model önbelleklenmemekte ya da atlanmamaktadır.</w:t>
      </w:r>
    </w:p>
    <w:p>
      <w:pPr>
        <w:pStyle w:val="Balk-1"/>
        <w:keepNext/>
        <w:spacing w:before="160" w:after="40"/>
      </w:pPr>
      <w:r>
        <w:rPr>
          <w:rFonts w:ascii="Cambria" w:hAnsi="Cambria" w:cs="Cambria" w:eastAsia="Cambria"/>
          <w:b/>
          <w:i w:val="0"/>
          <w:color w:val="000000"/>
          <w:sz w:val="20"/>
        </w:rPr>
        <w:t>4.4. Birleşim Marjı Neye Bağlıdır</w:t>
      </w:r>
    </w:p>
    <w:p>
      <w:pPr>
        <w:pStyle w:val="Paragraf"/>
        <w:spacing w:before="120" w:after="0"/>
        <w:jc w:val="both"/>
      </w:pPr>
      <w:r>
        <w:rPr>
          <w:rFonts w:ascii="Cambria" w:hAnsi="Cambria" w:cs="Cambria" w:eastAsia="Cambria"/>
          <w:b w:val="0"/>
          <w:i w:val="0"/>
          <w:color w:val="000000"/>
          <w:sz w:val="20"/>
        </w:rPr>
        <w:t>Yukarıda raporlanan marj, iki temsil uzayının değil devralınan enjeksiyon protokolünün bir özelliğidir. Protokol kalıntı kanallarını elle seçilmiş bir genlikle doğrudan bozmakta ve bu seçimlerden biri tamamlayıcılık sonucunun tamamını taşımaktadır. Sensör gürültüsü için referans çalışma wrench'e 3,5 N ve ayrıca dışsal kalıntıya 0,08 Nm eklemekte, ikincisini senaryonun 'yalnız ham sinyali etkilemesi' için kasten küçük tutulmuş olarak tanımlamaktadır. Fiziksel olarak, 3,5 N'luk bir wrench bozulması kalıntıya r_ext = J(q)ᵀF üzerinden yayılır; bu robotta ölçüldüğünde kalıntı kanallarında 4,1 Nm'lik bir standart sapma üretmektedir — elle enjekte edilen genliğin elli bir katı. Ters dinamik wrench'i süzmez, dönüştürür.</w:t>
      </w:r>
    </w:p>
    <w:p>
      <w:pPr>
        <w:pStyle w:val="Paragraf"/>
        <w:spacing w:before="120" w:after="0"/>
        <w:jc w:val="both"/>
      </w:pPr>
      <w:r>
        <w:rPr>
          <w:rFonts w:ascii="Cambria" w:hAnsi="Cambria" w:cs="Cambria" w:eastAsia="Cambria"/>
          <w:b w:val="0"/>
          <w:i w:val="0"/>
          <w:color w:val="000000"/>
          <w:sz w:val="20"/>
        </w:rPr>
        <w:t>Karşılaştırma tek yanlı değildir. Çarpışma senaryosunda elle seçilen 40 Nm'lik kalıntı genliği, tepe değeri 80,5 Nm olan fiziksel yayılımla uyuşmaktadır — aynı mertebe. Sensör gürültüsü ikisinin uyuşmadığı tek senaryodur ve referans çalışmanın tamamlayıcılığın sınavı olarak adlandırdığı senaryo da odur.</w:t>
      </w:r>
    </w:p>
    <w:p>
      <w:pPr>
        <w:pStyle w:val="Paragraf"/>
        <w:spacing w:before="120" w:after="0"/>
        <w:jc w:val="both"/>
        <w:sectPr w:rsidR="006A6232" w:rsidRPr="006A6232" w:rsidSect="00327F76">
          <w:footerReference w:type="default" r:id="rId25"/>
          <w:type w:val="continuous"/>
          <w:pgSz w:w="11906" w:h="16838" w:code="9"/>
          <w:pgMar w:top="1701" w:right="851" w:bottom="1418" w:left="851" w:header="1134" w:footer="851" w:gutter="0"/>
          <w:cols w:num="2" w:space="709" w:equalWidth="1"/>
          <w:docGrid w:linePitch="360"/>
        </w:sectPr>
      </w:pPr>
      <w:r>
        <w:rPr>
          <w:rFonts w:ascii="Cambria" w:hAnsi="Cambria" w:cs="Cambria" w:eastAsia="Cambria"/>
          <w:b w:val="0"/>
          <w:i w:val="0"/>
          <w:color w:val="000000"/>
          <w:sz w:val="20"/>
        </w:rPr>
        <w:t>Tablo 10, iki enjeksiyon protokolünü sürtünme teriminin varlığıyla çaprazlamakta ve her hücrede beş tohum kullanmaktadır. Sonuç açıktır: birleşim marjı devralınan protokolde her iki sürtünme koşulunda da mevcut, fiziksel protokolde her ikisinde de yoktur.</w:t>
      </w:r>
    </w:p>
    <w:p>
      <w:pPr>
        <w:keepNext/>
        <w:spacing w:before="160" w:after="60"/>
        <w:jc w:val="left"/>
      </w:pPr>
      <w:r>
        <w:rPr>
          <w:rFonts w:ascii="Cambria" w:hAnsi="Cambria" w:cs="Cambria" w:eastAsia="Cambria"/>
          <w:b/>
          <w:i w:val="0"/>
          <w:color w:val="000000"/>
          <w:sz w:val="18"/>
        </w:rPr>
        <w:t>Tablo 10.</w:t>
      </w:r>
      <w:r>
        <w:rPr>
          <w:rFonts w:ascii="Cambria" w:hAnsi="Cambria" w:cs="Cambria" w:eastAsia="Cambria"/>
          <w:b w:val="0"/>
          <w:i w:val="0"/>
          <w:color w:val="000000"/>
          <w:sz w:val="18"/>
        </w:rPr>
        <w:t xml:space="preserve"> İki Enjeksiyon Protokolü ve İki Kalıntı Tanımı Altında Birleşim Marjı (PR-AUC, beş tohum, ort ± s.s.).</w:t>
      </w:r>
    </w:p>
    <w:tbl>
      <w:tblPr>
        <w:jc w:val="center"/>
        <w:tblLook w:firstColumn="1" w:firstRow="1" w:lastColumn="0" w:lastRow="0" w:noHBand="0" w:noVBand="1" w:val="04A0"/>
        <w:tblW w:w="10150" w:type="dxa"/>
        <w:tblLayout w:type="fixed"/>
      </w:tblPr>
      <w:tblGrid>
        <w:gridCol w:w="2537"/>
        <w:gridCol w:w="1833"/>
        <w:gridCol w:w="1833"/>
        <w:gridCol w:w="1833"/>
        <w:gridCol w:w="2114"/>
      </w:tblGrid>
      <w:tr>
        <w:tc>
          <w:tcPr>
            <w:tcW w:w="2537"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Yapılandırma</w:t>
            </w:r>
          </w:p>
        </w:tc>
        <w:tc>
          <w:tcPr>
            <w:tcW w:w="1833"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Kalıntı</w:t>
            </w:r>
          </w:p>
        </w:tc>
        <w:tc>
          <w:tcPr>
            <w:tcW w:w="1833"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Ham</w:t>
            </w:r>
          </w:p>
        </w:tc>
        <w:tc>
          <w:tcPr>
            <w:tcW w:w="1833"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Birleşim</w:t>
            </w:r>
          </w:p>
        </w:tc>
        <w:tc>
          <w:tcPr>
            <w:tcW w:w="2114"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Marj</w:t>
            </w:r>
          </w:p>
        </w:tc>
      </w:tr>
      <w:tr>
        <w:tc>
          <w:tcPr>
            <w:tcW w:w="2537" w:type="dxa"/>
            <w:tcBorders>
              <w:top w:val="single" w:sz="4" w:space="0" w:color="000000"/>
              <w:left w:val="nil"/>
              <w:bottom w:val="nil"/>
              <w:right w:val="nil"/>
            </w:tcBorders>
          </w:tcPr>
          <w:p>
            <w:pPr>
              <w:spacing w:before="20" w:after="20"/>
              <w:jc w:val="left"/>
            </w:pPr>
            <w:r>
              <w:rPr>
                <w:rFonts w:ascii="Cambria" w:hAnsi="Cambria" w:cs="Cambria" w:eastAsia="Cambria"/>
                <w:b w:val="0"/>
                <w:i w:val="0"/>
                <w:color w:val="000000"/>
                <w:sz w:val="16"/>
              </w:rPr>
              <w:t>Devralınan / sürtünmesiz</w:t>
            </w:r>
          </w:p>
        </w:tc>
        <w:tc>
          <w:tcPr>
            <w:tcW w:w="1833" w:type="dxa"/>
            <w:tcBorders>
              <w:top w:val="single" w:sz="4" w:space="0" w:color="000000"/>
              <w:left w:val="nil"/>
              <w:bottom w:val="nil"/>
              <w:right w:val="nil"/>
            </w:tcBorders>
          </w:tcPr>
          <w:p>
            <w:pPr>
              <w:spacing w:before="20" w:after="20"/>
              <w:jc w:val="right"/>
            </w:pPr>
            <w:r>
              <w:rPr>
                <w:rFonts w:ascii="Cambria" w:hAnsi="Cambria" w:cs="Cambria" w:eastAsia="Cambria"/>
                <w:b w:val="0"/>
                <w:i w:val="0"/>
                <w:color w:val="000000"/>
                <w:sz w:val="16"/>
              </w:rPr>
              <w:t>0,620 ± 0,007</w:t>
            </w:r>
          </w:p>
        </w:tc>
        <w:tc>
          <w:tcPr>
            <w:tcW w:w="1833" w:type="dxa"/>
            <w:tcBorders>
              <w:top w:val="single" w:sz="4" w:space="0" w:color="000000"/>
              <w:left w:val="nil"/>
              <w:bottom w:val="nil"/>
              <w:right w:val="nil"/>
            </w:tcBorders>
          </w:tcPr>
          <w:p>
            <w:pPr>
              <w:spacing w:before="20" w:after="20"/>
              <w:jc w:val="right"/>
            </w:pPr>
            <w:r>
              <w:rPr>
                <w:rFonts w:ascii="Cambria" w:hAnsi="Cambria" w:cs="Cambria" w:eastAsia="Cambria"/>
                <w:b w:val="0"/>
                <w:i w:val="0"/>
                <w:color w:val="000000"/>
                <w:sz w:val="16"/>
              </w:rPr>
              <w:t>0,668 ± 0,009</w:t>
            </w:r>
          </w:p>
        </w:tc>
        <w:tc>
          <w:tcPr>
            <w:tcW w:w="1833" w:type="dxa"/>
            <w:tcBorders>
              <w:top w:val="single" w:sz="4" w:space="0" w:color="000000"/>
              <w:left w:val="nil"/>
              <w:bottom w:val="nil"/>
              <w:right w:val="nil"/>
            </w:tcBorders>
          </w:tcPr>
          <w:p>
            <w:pPr>
              <w:spacing w:before="20" w:after="20"/>
              <w:jc w:val="right"/>
            </w:pPr>
            <w:r>
              <w:rPr>
                <w:rFonts w:ascii="Cambria" w:hAnsi="Cambria" w:cs="Cambria" w:eastAsia="Cambria"/>
                <w:b w:val="0"/>
                <w:i w:val="0"/>
                <w:color w:val="000000"/>
                <w:sz w:val="16"/>
              </w:rPr>
              <w:t>0,829 ± 0,007</w:t>
            </w:r>
          </w:p>
        </w:tc>
        <w:tc>
          <w:tcPr>
            <w:tcW w:w="2114" w:type="dxa"/>
            <w:tcBorders>
              <w:top w:val="single" w:sz="4" w:space="0" w:color="000000"/>
              <w:left w:val="nil"/>
              <w:bottom w:val="nil"/>
              <w:right w:val="nil"/>
            </w:tcBorders>
          </w:tcPr>
          <w:p>
            <w:pPr>
              <w:spacing w:before="20" w:after="20"/>
              <w:jc w:val="right"/>
            </w:pPr>
            <w:r>
              <w:rPr>
                <w:rFonts w:ascii="Cambria" w:hAnsi="Cambria" w:cs="Cambria" w:eastAsia="Cambria"/>
                <w:b/>
                <w:i w:val="0"/>
                <w:color w:val="000000"/>
                <w:sz w:val="16"/>
              </w:rPr>
              <w:t>+0,161 ± 0,005</w:t>
            </w:r>
          </w:p>
        </w:tc>
      </w:tr>
      <w:tr>
        <w:tc>
          <w:tcPr>
            <w:tcW w:w="2537" w:type="dxa"/>
            <w:tcBorders>
              <w:top w:val="nil"/>
              <w:left w:val="nil"/>
              <w:bottom w:val="nil"/>
              <w:right w:val="nil"/>
            </w:tcBorders>
          </w:tcPr>
          <w:p>
            <w:pPr>
              <w:spacing w:before="20" w:after="20"/>
              <w:jc w:val="left"/>
            </w:pPr>
            <w:r>
              <w:rPr>
                <w:rFonts w:ascii="Cambria" w:hAnsi="Cambria" w:cs="Cambria" w:eastAsia="Cambria"/>
                <w:b w:val="0"/>
                <w:i w:val="0"/>
                <w:color w:val="000000"/>
                <w:sz w:val="16"/>
              </w:rPr>
              <w:t>Devralınan / sürtünmeli</w:t>
            </w:r>
          </w:p>
        </w:tc>
        <w:tc>
          <w:tcPr>
            <w:tcW w:w="1833" w:type="dxa"/>
            <w:tcBorders>
              <w:top w:val="nil"/>
              <w:left w:val="nil"/>
              <w:bottom w:val="nil"/>
              <w:right w:val="nil"/>
            </w:tcBorders>
          </w:tcPr>
          <w:p>
            <w:pPr>
              <w:spacing w:before="20" w:after="20"/>
              <w:jc w:val="right"/>
            </w:pPr>
            <w:r>
              <w:rPr>
                <w:rFonts w:ascii="Cambria" w:hAnsi="Cambria" w:cs="Cambria" w:eastAsia="Cambria"/>
                <w:b w:val="0"/>
                <w:i w:val="0"/>
                <w:color w:val="000000"/>
                <w:sz w:val="16"/>
              </w:rPr>
              <w:t>0,653 ± 0,009</w:t>
            </w:r>
          </w:p>
        </w:tc>
        <w:tc>
          <w:tcPr>
            <w:tcW w:w="1833" w:type="dxa"/>
            <w:tcBorders>
              <w:top w:val="nil"/>
              <w:left w:val="nil"/>
              <w:bottom w:val="nil"/>
              <w:right w:val="nil"/>
            </w:tcBorders>
          </w:tcPr>
          <w:p>
            <w:pPr>
              <w:spacing w:before="20" w:after="20"/>
              <w:jc w:val="right"/>
            </w:pPr>
            <w:r>
              <w:rPr>
                <w:rFonts w:ascii="Cambria" w:hAnsi="Cambria" w:cs="Cambria" w:eastAsia="Cambria"/>
                <w:b w:val="0"/>
                <w:i w:val="0"/>
                <w:color w:val="000000"/>
                <w:sz w:val="16"/>
              </w:rPr>
              <w:t>0,668 ± 0,009</w:t>
            </w:r>
          </w:p>
        </w:tc>
        <w:tc>
          <w:tcPr>
            <w:tcW w:w="1833" w:type="dxa"/>
            <w:tcBorders>
              <w:top w:val="nil"/>
              <w:left w:val="nil"/>
              <w:bottom w:val="nil"/>
              <w:right w:val="nil"/>
            </w:tcBorders>
          </w:tcPr>
          <w:p>
            <w:pPr>
              <w:spacing w:before="20" w:after="20"/>
              <w:jc w:val="right"/>
            </w:pPr>
            <w:r>
              <w:rPr>
                <w:rFonts w:ascii="Cambria" w:hAnsi="Cambria" w:cs="Cambria" w:eastAsia="Cambria"/>
                <w:b w:val="0"/>
                <w:i w:val="0"/>
                <w:color w:val="000000"/>
                <w:sz w:val="16"/>
              </w:rPr>
              <w:t>0,857 ± 0,009</w:t>
            </w:r>
          </w:p>
        </w:tc>
        <w:tc>
          <w:tcPr>
            <w:tcW w:w="2114" w:type="dxa"/>
            <w:tcBorders>
              <w:top w:val="nil"/>
              <w:left w:val="nil"/>
              <w:bottom w:val="nil"/>
              <w:right w:val="nil"/>
            </w:tcBorders>
          </w:tcPr>
          <w:p>
            <w:pPr>
              <w:spacing w:before="20" w:after="20"/>
              <w:jc w:val="right"/>
            </w:pPr>
            <w:r>
              <w:rPr>
                <w:rFonts w:ascii="Cambria" w:hAnsi="Cambria" w:cs="Cambria" w:eastAsia="Cambria"/>
                <w:b/>
                <w:i w:val="0"/>
                <w:color w:val="000000"/>
                <w:sz w:val="16"/>
              </w:rPr>
              <w:t>+0,189 ± 0,009</w:t>
            </w:r>
          </w:p>
        </w:tc>
      </w:tr>
      <w:tr>
        <w:tc>
          <w:tcPr>
            <w:tcW w:w="2537" w:type="dxa"/>
            <w:tcBorders>
              <w:top w:val="nil"/>
              <w:left w:val="nil"/>
              <w:bottom w:val="nil"/>
              <w:right w:val="nil"/>
            </w:tcBorders>
          </w:tcPr>
          <w:p>
            <w:pPr>
              <w:spacing w:before="20" w:after="20"/>
              <w:jc w:val="left"/>
            </w:pPr>
            <w:r>
              <w:rPr>
                <w:rFonts w:ascii="Cambria" w:hAnsi="Cambria" w:cs="Cambria" w:eastAsia="Cambria"/>
                <w:b w:val="0"/>
                <w:i w:val="0"/>
                <w:color w:val="000000"/>
                <w:sz w:val="16"/>
              </w:rPr>
              <w:t>Fiziksel / sürtünmesiz</w:t>
            </w:r>
          </w:p>
        </w:tc>
        <w:tc>
          <w:tcPr>
            <w:tcW w:w="1833" w:type="dxa"/>
            <w:tcBorders>
              <w:top w:val="nil"/>
              <w:left w:val="nil"/>
              <w:bottom w:val="nil"/>
              <w:right w:val="nil"/>
            </w:tcBorders>
          </w:tcPr>
          <w:p>
            <w:pPr>
              <w:spacing w:before="20" w:after="20"/>
              <w:jc w:val="right"/>
            </w:pPr>
            <w:r>
              <w:rPr>
                <w:rFonts w:ascii="Cambria" w:hAnsi="Cambria" w:cs="Cambria" w:eastAsia="Cambria"/>
                <w:b/>
                <w:i w:val="0"/>
                <w:color w:val="000000"/>
                <w:sz w:val="16"/>
              </w:rPr>
              <w:t>0,750 ± 0,017</w:t>
            </w:r>
          </w:p>
        </w:tc>
        <w:tc>
          <w:tcPr>
            <w:tcW w:w="1833" w:type="dxa"/>
            <w:tcBorders>
              <w:top w:val="nil"/>
              <w:left w:val="nil"/>
              <w:bottom w:val="nil"/>
              <w:right w:val="nil"/>
            </w:tcBorders>
          </w:tcPr>
          <w:p>
            <w:pPr>
              <w:spacing w:before="20" w:after="20"/>
              <w:jc w:val="right"/>
            </w:pPr>
            <w:r>
              <w:rPr>
                <w:rFonts w:ascii="Cambria" w:hAnsi="Cambria" w:cs="Cambria" w:eastAsia="Cambria"/>
                <w:b w:val="0"/>
                <w:i w:val="0"/>
                <w:color w:val="000000"/>
                <w:sz w:val="16"/>
              </w:rPr>
              <w:t>0,668 ± 0,009</w:t>
            </w:r>
          </w:p>
        </w:tc>
        <w:tc>
          <w:tcPr>
            <w:tcW w:w="1833" w:type="dxa"/>
            <w:tcBorders>
              <w:top w:val="nil"/>
              <w:left w:val="nil"/>
              <w:bottom w:val="nil"/>
              <w:right w:val="nil"/>
            </w:tcBorders>
          </w:tcPr>
          <w:p>
            <w:pPr>
              <w:spacing w:before="20" w:after="20"/>
              <w:jc w:val="right"/>
            </w:pPr>
            <w:r>
              <w:rPr>
                <w:rFonts w:ascii="Cambria" w:hAnsi="Cambria" w:cs="Cambria" w:eastAsia="Cambria"/>
                <w:b w:val="0"/>
                <w:i w:val="0"/>
                <w:color w:val="000000"/>
                <w:sz w:val="16"/>
              </w:rPr>
              <w:t>0,747 ± 0,016</w:t>
            </w:r>
          </w:p>
        </w:tc>
        <w:tc>
          <w:tcPr>
            <w:tcW w:w="2114" w:type="dxa"/>
            <w:tcBorders>
              <w:top w:val="nil"/>
              <w:left w:val="nil"/>
              <w:bottom w:val="nil"/>
              <w:right w:val="nil"/>
            </w:tcBorders>
          </w:tcPr>
          <w:p>
            <w:pPr>
              <w:spacing w:before="20" w:after="20"/>
              <w:jc w:val="right"/>
            </w:pPr>
            <w:r>
              <w:rPr>
                <w:rFonts w:ascii="Cambria" w:hAnsi="Cambria" w:cs="Cambria" w:eastAsia="Cambria"/>
                <w:b w:val="0"/>
                <w:i w:val="0"/>
                <w:color w:val="000000"/>
                <w:sz w:val="16"/>
              </w:rPr>
              <w:t>−0,003 ± 0,001</w:t>
            </w:r>
          </w:p>
        </w:tc>
      </w:tr>
      <w:tr>
        <w:tc>
          <w:tcPr>
            <w:tcW w:w="2537" w:type="dxa"/>
            <w:tcBorders>
              <w:top w:val="nil"/>
              <w:left w:val="nil"/>
              <w:bottom w:val="single" w:sz="8" w:space="0" w:color="000000"/>
              <w:right w:val="nil"/>
            </w:tcBorders>
          </w:tcPr>
          <w:p>
            <w:pPr>
              <w:spacing w:before="20" w:after="20"/>
              <w:jc w:val="left"/>
            </w:pPr>
            <w:r>
              <w:rPr>
                <w:rFonts w:ascii="Cambria" w:hAnsi="Cambria" w:cs="Cambria" w:eastAsia="Cambria"/>
                <w:b w:val="0"/>
                <w:i w:val="0"/>
                <w:color w:val="000000"/>
                <w:sz w:val="16"/>
              </w:rPr>
              <w:t>Fiziksel / sürtünmeli</w:t>
            </w:r>
          </w:p>
        </w:tc>
        <w:tc>
          <w:tcPr>
            <w:tcW w:w="1833" w:type="dxa"/>
            <w:tcBorders>
              <w:top w:val="nil"/>
              <w:left w:val="nil"/>
              <w:bottom w:val="single" w:sz="8" w:space="0" w:color="000000"/>
              <w:right w:val="nil"/>
            </w:tcBorders>
          </w:tcPr>
          <w:p>
            <w:pPr>
              <w:spacing w:before="20" w:after="20"/>
              <w:jc w:val="right"/>
            </w:pPr>
            <w:r>
              <w:rPr>
                <w:rFonts w:ascii="Cambria" w:hAnsi="Cambria" w:cs="Cambria" w:eastAsia="Cambria"/>
                <w:b w:val="0"/>
                <w:i w:val="0"/>
                <w:color w:val="000000"/>
                <w:sz w:val="16"/>
              </w:rPr>
              <w:t>0,730 ± 0,014</w:t>
            </w:r>
          </w:p>
        </w:tc>
        <w:tc>
          <w:tcPr>
            <w:tcW w:w="1833" w:type="dxa"/>
            <w:tcBorders>
              <w:top w:val="nil"/>
              <w:left w:val="nil"/>
              <w:bottom w:val="single" w:sz="8" w:space="0" w:color="000000"/>
              <w:right w:val="nil"/>
            </w:tcBorders>
          </w:tcPr>
          <w:p>
            <w:pPr>
              <w:spacing w:before="20" w:after="20"/>
              <w:jc w:val="right"/>
            </w:pPr>
            <w:r>
              <w:rPr>
                <w:rFonts w:ascii="Cambria" w:hAnsi="Cambria" w:cs="Cambria" w:eastAsia="Cambria"/>
                <w:b w:val="0"/>
                <w:i w:val="0"/>
                <w:color w:val="000000"/>
                <w:sz w:val="16"/>
              </w:rPr>
              <w:t>0,668 ± 0,009</w:t>
            </w:r>
          </w:p>
        </w:tc>
        <w:tc>
          <w:tcPr>
            <w:tcW w:w="1833" w:type="dxa"/>
            <w:tcBorders>
              <w:top w:val="nil"/>
              <w:left w:val="nil"/>
              <w:bottom w:val="single" w:sz="8" w:space="0" w:color="000000"/>
              <w:right w:val="nil"/>
            </w:tcBorders>
          </w:tcPr>
          <w:p>
            <w:pPr>
              <w:spacing w:before="20" w:after="20"/>
              <w:jc w:val="right"/>
            </w:pPr>
            <w:r>
              <w:rPr>
                <w:rFonts w:ascii="Cambria" w:hAnsi="Cambria" w:cs="Cambria" w:eastAsia="Cambria"/>
                <w:b w:val="0"/>
                <w:i w:val="0"/>
                <w:color w:val="000000"/>
                <w:sz w:val="16"/>
              </w:rPr>
              <w:t>0,727 ± 0,014</w:t>
            </w:r>
          </w:p>
        </w:tc>
        <w:tc>
          <w:tcPr>
            <w:tcW w:w="2114" w:type="dxa"/>
            <w:tcBorders>
              <w:top w:val="nil"/>
              <w:left w:val="nil"/>
              <w:bottom w:val="single" w:sz="8" w:space="0" w:color="000000"/>
              <w:right w:val="nil"/>
            </w:tcBorders>
          </w:tcPr>
          <w:p>
            <w:pPr>
              <w:spacing w:before="20" w:after="20"/>
              <w:jc w:val="right"/>
            </w:pPr>
            <w:r>
              <w:rPr>
                <w:rFonts w:ascii="Cambria" w:hAnsi="Cambria" w:cs="Cambria" w:eastAsia="Cambria"/>
                <w:b w:val="0"/>
                <w:i w:val="0"/>
                <w:color w:val="000000"/>
                <w:sz w:val="16"/>
              </w:rPr>
              <w:t>−0,003 ± 0,001</w:t>
            </w:r>
          </w:p>
        </w:tc>
      </w:tr>
    </w:tbl>
    <w:p>
      <w:pPr>
        <w:spacing w:before="40" w:after="120"/>
        <w:jc w:val="both"/>
        <w:sectPr w:rsidR="006A6232" w:rsidRPr="006A6232" w:rsidSect="00327F76">
          <w:footerReference w:type="default" r:id="rId25"/>
          <w:type w:val="continuous"/>
          <w:pgSz w:w="11906" w:h="16838" w:code="9"/>
          <w:pgMar w:top="1701" w:right="851" w:bottom="1418" w:left="851" w:header="1134" w:footer="851" w:gutter="0"/>
          <w:cols w:space="708"/>
          <w:docGrid w:linePitch="360"/>
        </w:sectPr>
      </w:pPr>
      <w:r>
        <w:rPr>
          <w:rFonts w:ascii="Cambria" w:hAnsi="Cambria" w:cs="Cambria" w:eastAsia="Cambria"/>
          <w:b w:val="0"/>
          <w:i/>
          <w:color w:val="444444"/>
          <w:sz w:val="16"/>
        </w:rPr>
        <w:t>Marj, birleşik PR-AUC eksi iki tekil modelin iyisidir. Ham sütun yapısı gereği sabittir; bu aynı zamanda ablasyonun kontrollü olduğunun bir denetimidir. Devralınan protokolde marj her iki satırın beş tohumunda da pozitiftir; fiziksel protokolde her iki satırın beş tohumunda da −0,003'tür, yani yüzde beşlik ham ağırlık az da olsa maliyetlidir ve hiçbir şey getirmez. Pencere düzeyinde tamamlayıcılık aynı yönde çökmektedir: yalnız kalıntıyla tespitler %27,6'dan %4,8'e, yalnız hamla tespitler %28,0'dan %0,1'e düşmektedir.</w:t>
      </w:r>
    </w:p>
    <w:p>
      <w:pPr>
        <w:pStyle w:val="Paragraf"/>
        <w:spacing w:before="120" w:after="0"/>
        <w:jc w:val="both"/>
      </w:pPr>
      <w:r>
        <w:rPr>
          <w:rFonts w:ascii="Cambria" w:hAnsi="Cambria" w:cs="Cambria" w:eastAsia="Cambria"/>
          <w:b w:val="0"/>
          <w:i w:val="0"/>
          <w:color w:val="000000"/>
          <w:sz w:val="20"/>
        </w:rPr>
        <w:t>Aynı tablo ikinci bir soruyu da yanıtlar. Sürtünme terimini eklemek, devralınan protokol altında kalıntı modelini +0,034 ± 0,009 PR-AUC iyileştirmekte ve beş tohumun hepsinde aynı yönde davranmaktadır; buna karşılık fiziksel protokolde değişim −0,020 ± 0,027'dir, anlamlı değildir ve ters yönü göstermektedir. Sürtünme teriminin gösterilebilir faydası bu nedenle fiziksel sadakattir — Tablo 3'teki %87 ve %92'lik bilek kalıntısı azalması ve newton metre cinsinden yorumlanabilir kalan arıza genlikleri — bu dört sentetik arızanın tespiti değil. Ayrıca ölçülmüş bir bedeli vardır: çalışma eşiğinin tohumdan tohuma yayılımı, her iki protokolde de ortalamasının %17'sinden %46'sına çıkmaktadır.</w:t>
      </w:r>
    </w:p>
    <w:p>
      <w:pPr>
        <w:pStyle w:val="Paragraf"/>
        <w:spacing w:before="120" w:after="0"/>
        <w:jc w:val="both"/>
      </w:pPr>
      <w:r>
        <w:rPr>
          <w:rFonts w:ascii="Cambria" w:hAnsi="Cambria" w:cs="Cambria" w:eastAsia="Cambria"/>
          <w:b w:val="0"/>
          <w:i w:val="0"/>
          <w:color w:val="000000"/>
          <w:sz w:val="20"/>
        </w:rPr>
        <w:t>Bunların hiçbiri ham modelin işe yaramaz olduğunu söylemez. Söylediği şudur: bu dört sentetik senaryo, tutarlı biçimde enjekte edildiğinde iki temsil uzayı arasında ayrım yapmamaktadır. Bölüm 4.7, iki modelin donanım üzerinde gerçek olaylar sırasında ne yaptığını raporlamaktadır ve buradaki gerçek arızalara ilişkin tek kanıt odur.</w:t>
      </w:r>
    </w:p>
    <w:p>
      <w:pPr>
        <w:pStyle w:val="Balk-1"/>
        <w:keepNext/>
        <w:spacing w:before="160" w:after="40"/>
      </w:pPr>
      <w:r>
        <w:rPr>
          <w:rFonts w:ascii="Cambria" w:hAnsi="Cambria" w:cs="Cambria" w:eastAsia="Cambria"/>
          <w:b/>
          <w:i w:val="0"/>
          <w:color w:val="000000"/>
          <w:sz w:val="20"/>
        </w:rPr>
        <w:t>4.5. Önceki Sayıların Kaynağı</w:t>
      </w:r>
    </w:p>
    <w:p>
      <w:pPr>
        <w:pStyle w:val="Paragraf"/>
        <w:spacing w:before="120" w:after="0"/>
        <w:jc w:val="both"/>
      </w:pPr>
      <w:r>
        <w:rPr>
          <w:rFonts w:ascii="Cambria" w:hAnsi="Cambria" w:cs="Cambria" w:eastAsia="Cambria"/>
          <w:b w:val="0"/>
          <w:i w:val="0"/>
          <w:color w:val="000000"/>
          <w:sz w:val="20"/>
        </w:rPr>
        <w:t>Bu alt bölüm, bu çalışmanın genişlettiği çalışmayla karşılaştırmayı tek bir yerde toplamaktadır. Bölüm 3.8'in karışık birimli yapılandırmasında yeniden kurulduğunda hat, önceki sayıları nokta nokta yeniden üretmektedir (Tablo 11); bu, onların hangi düzende üretildiğini ve dolayısıyla hangi fiziksel ölçekte okunmaları gerektiğini belirlemektedir.</w:t>
      </w:r>
    </w:p>
    <w:p>
      <w:pPr>
        <w:keepNext/>
        <w:spacing w:before="160" w:after="60"/>
        <w:jc w:val="left"/>
      </w:pPr>
      <w:r>
        <w:rPr>
          <w:rFonts w:ascii="Cambria" w:hAnsi="Cambria" w:cs="Cambria" w:eastAsia="Cambria"/>
          <w:b/>
          <w:i w:val="0"/>
          <w:color w:val="000000"/>
          <w:sz w:val="18"/>
        </w:rPr>
        <w:t>Tablo 11.</w:t>
      </w:r>
      <w:r>
        <w:rPr>
          <w:rFonts w:ascii="Cambria" w:hAnsi="Cambria" w:cs="Cambria" w:eastAsia="Cambria"/>
          <w:b w:val="0"/>
          <w:i w:val="0"/>
          <w:color w:val="000000"/>
          <w:sz w:val="18"/>
        </w:rPr>
        <w:t xml:space="preserve"> Önceki Hattın Yeniden Üretimi.</w:t>
      </w:r>
    </w:p>
    <w:tbl>
      <w:tblPr>
        <w:jc w:val="center"/>
        <w:tblLook w:firstColumn="1" w:firstRow="1" w:lastColumn="0" w:lastRow="0" w:noHBand="0" w:noVBand="1" w:val="04A0"/>
        <w:tblW w:w="4735" w:type="dxa"/>
        <w:tblLayout w:type="fixed"/>
      </w:tblPr>
      <w:tblGrid>
        <w:gridCol w:w="1882"/>
        <w:gridCol w:w="1141"/>
        <w:gridCol w:w="913"/>
        <w:gridCol w:w="799"/>
      </w:tblGrid>
      <w:tr>
        <w:tc>
          <w:tcPr>
            <w:tcW w:w="1882"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Büyüklük</w:t>
            </w:r>
          </w:p>
        </w:tc>
        <w:tc>
          <w:tcPr>
            <w:tcW w:w="1141"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Yeniden kurulum</w:t>
            </w:r>
          </w:p>
        </w:tc>
        <w:tc>
          <w:tcPr>
            <w:tcW w:w="913"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Önceki</w:t>
            </w:r>
          </w:p>
        </w:tc>
        <w:tc>
          <w:tcPr>
            <w:tcW w:w="799"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Δ</w:t>
            </w:r>
          </w:p>
        </w:tc>
      </w:tr>
      <w:tr>
        <w:tc>
          <w:tcPr>
            <w:tcW w:w="1882" w:type="dxa"/>
            <w:tcBorders>
              <w:top w:val="single" w:sz="4" w:space="0" w:color="000000"/>
              <w:left w:val="nil"/>
              <w:bottom w:val="nil"/>
              <w:right w:val="nil"/>
            </w:tcBorders>
          </w:tcPr>
          <w:p>
            <w:pPr>
              <w:spacing w:before="20" w:after="20"/>
              <w:jc w:val="left"/>
            </w:pPr>
            <w:r>
              <w:rPr>
                <w:rFonts w:ascii="Cambria" w:hAnsi="Cambria" w:cs="Cambria" w:eastAsia="Cambria"/>
                <w:b w:val="0"/>
                <w:i w:val="0"/>
                <w:color w:val="000000"/>
                <w:sz w:val="16"/>
              </w:rPr>
              <w:t>Test penceresi</w:t>
            </w:r>
          </w:p>
        </w:tc>
        <w:tc>
          <w:tcPr>
            <w:tcW w:w="1141" w:type="dxa"/>
            <w:tcBorders>
              <w:top w:val="single" w:sz="4" w:space="0" w:color="000000"/>
              <w:left w:val="nil"/>
              <w:bottom w:val="nil"/>
              <w:right w:val="nil"/>
            </w:tcBorders>
          </w:tcPr>
          <w:p>
            <w:pPr>
              <w:spacing w:before="20" w:after="20"/>
              <w:jc w:val="right"/>
            </w:pPr>
            <w:r>
              <w:rPr>
                <w:rFonts w:ascii="Cambria" w:hAnsi="Cambria" w:cs="Cambria" w:eastAsia="Cambria"/>
                <w:b w:val="0"/>
                <w:i w:val="0"/>
                <w:color w:val="000000"/>
                <w:sz w:val="16"/>
              </w:rPr>
              <w:t>179.888</w:t>
            </w:r>
          </w:p>
        </w:tc>
        <w:tc>
          <w:tcPr>
            <w:tcW w:w="913" w:type="dxa"/>
            <w:tcBorders>
              <w:top w:val="single" w:sz="4" w:space="0" w:color="000000"/>
              <w:left w:val="nil"/>
              <w:bottom w:val="nil"/>
              <w:right w:val="nil"/>
            </w:tcBorders>
          </w:tcPr>
          <w:p>
            <w:pPr>
              <w:spacing w:before="20" w:after="20"/>
              <w:jc w:val="right"/>
            </w:pPr>
            <w:r>
              <w:rPr>
                <w:rFonts w:ascii="Cambria" w:hAnsi="Cambria" w:cs="Cambria" w:eastAsia="Cambria"/>
                <w:b w:val="0"/>
                <w:i w:val="0"/>
                <w:color w:val="000000"/>
                <w:sz w:val="16"/>
              </w:rPr>
              <w:t>179.896</w:t>
            </w:r>
          </w:p>
        </w:tc>
        <w:tc>
          <w:tcPr>
            <w:tcW w:w="799" w:type="dxa"/>
            <w:tcBorders>
              <w:top w:val="single" w:sz="4" w:space="0" w:color="000000"/>
              <w:left w:val="nil"/>
              <w:bottom w:val="nil"/>
              <w:right w:val="nil"/>
            </w:tcBorders>
          </w:tcPr>
          <w:p>
            <w:pPr>
              <w:spacing w:before="20" w:after="20"/>
              <w:jc w:val="right"/>
            </w:pPr>
            <w:r>
              <w:rPr>
                <w:rFonts w:ascii="Cambria" w:hAnsi="Cambria" w:cs="Cambria" w:eastAsia="Cambria"/>
                <w:b w:val="0"/>
                <w:i w:val="0"/>
                <w:color w:val="000000"/>
                <w:sz w:val="16"/>
              </w:rPr>
              <w:t>8</w:t>
            </w:r>
          </w:p>
        </w:tc>
      </w:tr>
      <w:tr>
        <w:tc>
          <w:tcPr>
            <w:tcW w:w="1882" w:type="dxa"/>
            <w:tcBorders>
              <w:top w:val="nil"/>
              <w:left w:val="nil"/>
              <w:bottom w:val="nil"/>
              <w:right w:val="nil"/>
            </w:tcBorders>
          </w:tcPr>
          <w:p>
            <w:pPr>
              <w:spacing w:before="20" w:after="20"/>
              <w:jc w:val="left"/>
            </w:pPr>
            <w:r>
              <w:rPr>
                <w:rFonts w:ascii="Cambria" w:hAnsi="Cambria" w:cs="Cambria" w:eastAsia="Cambria"/>
                <w:b w:val="0"/>
                <w:i w:val="0"/>
                <w:color w:val="000000"/>
                <w:sz w:val="16"/>
              </w:rPr>
              <w:t>Arıza penceresi</w:t>
            </w:r>
          </w:p>
        </w:tc>
        <w:tc>
          <w:tcPr>
            <w:tcW w:w="1141" w:type="dxa"/>
            <w:tcBorders>
              <w:top w:val="nil"/>
              <w:left w:val="nil"/>
              <w:bottom w:val="nil"/>
              <w:right w:val="nil"/>
            </w:tcBorders>
          </w:tcPr>
          <w:p>
            <w:pPr>
              <w:spacing w:before="20" w:after="20"/>
              <w:jc w:val="right"/>
            </w:pPr>
            <w:r>
              <w:rPr>
                <w:rFonts w:ascii="Cambria" w:hAnsi="Cambria" w:cs="Cambria" w:eastAsia="Cambria"/>
                <w:b w:val="0"/>
                <w:i w:val="0"/>
                <w:color w:val="000000"/>
                <w:sz w:val="16"/>
              </w:rPr>
              <w:t>14.401 (%8,01)</w:t>
            </w:r>
          </w:p>
        </w:tc>
        <w:tc>
          <w:tcPr>
            <w:tcW w:w="913" w:type="dxa"/>
            <w:tcBorders>
              <w:top w:val="nil"/>
              <w:left w:val="nil"/>
              <w:bottom w:val="nil"/>
              <w:right w:val="nil"/>
            </w:tcBorders>
          </w:tcPr>
          <w:p>
            <w:pPr>
              <w:spacing w:before="20" w:after="20"/>
              <w:jc w:val="right"/>
            </w:pPr>
            <w:r>
              <w:rPr>
                <w:rFonts w:ascii="Cambria" w:hAnsi="Cambria" w:cs="Cambria" w:eastAsia="Cambria"/>
                <w:b w:val="0"/>
                <w:i w:val="0"/>
                <w:color w:val="000000"/>
                <w:sz w:val="16"/>
              </w:rPr>
              <w:t>14.402 (%8,0)</w:t>
            </w:r>
          </w:p>
        </w:tc>
        <w:tc>
          <w:tcPr>
            <w:tcW w:w="799" w:type="dxa"/>
            <w:tcBorders>
              <w:top w:val="nil"/>
              <w:left w:val="nil"/>
              <w:bottom w:val="nil"/>
              <w:right w:val="nil"/>
            </w:tcBorders>
          </w:tcPr>
          <w:p>
            <w:pPr>
              <w:spacing w:before="20" w:after="20"/>
              <w:jc w:val="right"/>
            </w:pPr>
            <w:r>
              <w:rPr>
                <w:rFonts w:ascii="Cambria" w:hAnsi="Cambria" w:cs="Cambria" w:eastAsia="Cambria"/>
                <w:b w:val="0"/>
                <w:i w:val="0"/>
                <w:color w:val="000000"/>
                <w:sz w:val="16"/>
              </w:rPr>
              <w:t>1</w:t>
            </w:r>
          </w:p>
        </w:tc>
      </w:tr>
      <w:tr>
        <w:tc>
          <w:tcPr>
            <w:tcW w:w="1882" w:type="dxa"/>
            <w:tcBorders>
              <w:top w:val="nil"/>
              <w:left w:val="nil"/>
              <w:bottom w:val="nil"/>
              <w:right w:val="nil"/>
            </w:tcBorders>
          </w:tcPr>
          <w:p>
            <w:pPr>
              <w:spacing w:before="20" w:after="20"/>
              <w:jc w:val="left"/>
            </w:pPr>
            <w:r>
              <w:rPr>
                <w:rFonts w:ascii="Cambria" w:hAnsi="Cambria" w:cs="Cambria" w:eastAsia="Cambria"/>
                <w:b w:val="0"/>
                <w:i w:val="0"/>
                <w:color w:val="000000"/>
                <w:sz w:val="16"/>
              </w:rPr>
              <w:t>Yalnız kalıntı payı</w:t>
            </w:r>
          </w:p>
        </w:tc>
        <w:tc>
          <w:tcPr>
            <w:tcW w:w="1141" w:type="dxa"/>
            <w:tcBorders>
              <w:top w:val="nil"/>
              <w:left w:val="nil"/>
              <w:bottom w:val="nil"/>
              <w:right w:val="nil"/>
            </w:tcBorders>
          </w:tcPr>
          <w:p>
            <w:pPr>
              <w:spacing w:before="20" w:after="20"/>
              <w:jc w:val="right"/>
            </w:pPr>
            <w:r>
              <w:rPr>
                <w:rFonts w:ascii="Cambria" w:hAnsi="Cambria" w:cs="Cambria" w:eastAsia="Cambria"/>
                <w:b w:val="0"/>
                <w:i w:val="0"/>
                <w:color w:val="000000"/>
                <w:sz w:val="16"/>
              </w:rPr>
              <w:t>%23,9</w:t>
            </w:r>
          </w:p>
        </w:tc>
        <w:tc>
          <w:tcPr>
            <w:tcW w:w="913" w:type="dxa"/>
            <w:tcBorders>
              <w:top w:val="nil"/>
              <w:left w:val="nil"/>
              <w:bottom w:val="nil"/>
              <w:right w:val="nil"/>
            </w:tcBorders>
          </w:tcPr>
          <w:p>
            <w:pPr>
              <w:spacing w:before="20" w:after="20"/>
              <w:jc w:val="right"/>
            </w:pPr>
            <w:r>
              <w:rPr>
                <w:rFonts w:ascii="Cambria" w:hAnsi="Cambria" w:cs="Cambria" w:eastAsia="Cambria"/>
                <w:b w:val="0"/>
                <w:i w:val="0"/>
                <w:color w:val="000000"/>
                <w:sz w:val="16"/>
              </w:rPr>
              <w:t>%24,1</w:t>
            </w:r>
          </w:p>
        </w:tc>
        <w:tc>
          <w:tcPr>
            <w:tcW w:w="799" w:type="dxa"/>
            <w:tcBorders>
              <w:top w:val="nil"/>
              <w:left w:val="nil"/>
              <w:bottom w:val="nil"/>
              <w:right w:val="nil"/>
            </w:tcBorders>
          </w:tcPr>
          <w:p>
            <w:pPr>
              <w:spacing w:before="20" w:after="20"/>
              <w:jc w:val="right"/>
            </w:pPr>
            <w:r>
              <w:rPr>
                <w:rFonts w:ascii="Cambria" w:hAnsi="Cambria" w:cs="Cambria" w:eastAsia="Cambria"/>
                <w:b w:val="0"/>
                <w:i w:val="0"/>
                <w:color w:val="000000"/>
                <w:sz w:val="16"/>
              </w:rPr>
              <w:t>0,2 puan</w:t>
            </w:r>
          </w:p>
        </w:tc>
      </w:tr>
      <w:tr>
        <w:tc>
          <w:tcPr>
            <w:tcW w:w="1882" w:type="dxa"/>
            <w:tcBorders>
              <w:top w:val="nil"/>
              <w:left w:val="nil"/>
              <w:bottom w:val="nil"/>
              <w:right w:val="nil"/>
            </w:tcBorders>
          </w:tcPr>
          <w:p>
            <w:pPr>
              <w:spacing w:before="20" w:after="20"/>
              <w:jc w:val="left"/>
            </w:pPr>
            <w:r>
              <w:rPr>
                <w:rFonts w:ascii="Cambria" w:hAnsi="Cambria" w:cs="Cambria" w:eastAsia="Cambria"/>
                <w:b w:val="0"/>
                <w:i w:val="0"/>
                <w:color w:val="000000"/>
                <w:sz w:val="16"/>
              </w:rPr>
              <w:t>Sensör gürültüsü — kalıntı</w:t>
            </w:r>
          </w:p>
        </w:tc>
        <w:tc>
          <w:tcPr>
            <w:tcW w:w="1141" w:type="dxa"/>
            <w:tcBorders>
              <w:top w:val="nil"/>
              <w:left w:val="nil"/>
              <w:bottom w:val="nil"/>
              <w:right w:val="nil"/>
            </w:tcBorders>
          </w:tcPr>
          <w:p>
            <w:pPr>
              <w:spacing w:before="20" w:after="20"/>
              <w:jc w:val="right"/>
            </w:pPr>
            <w:r>
              <w:rPr>
                <w:rFonts w:ascii="Cambria" w:hAnsi="Cambria" w:cs="Cambria" w:eastAsia="Cambria"/>
                <w:b w:val="0"/>
                <w:i w:val="0"/>
                <w:color w:val="000000"/>
                <w:sz w:val="16"/>
              </w:rPr>
              <w:t>0,267</w:t>
            </w:r>
          </w:p>
        </w:tc>
        <w:tc>
          <w:tcPr>
            <w:tcW w:w="913" w:type="dxa"/>
            <w:tcBorders>
              <w:top w:val="nil"/>
              <w:left w:val="nil"/>
              <w:bottom w:val="nil"/>
              <w:right w:val="nil"/>
            </w:tcBorders>
          </w:tcPr>
          <w:p>
            <w:pPr>
              <w:spacing w:before="20" w:after="20"/>
              <w:jc w:val="right"/>
            </w:pPr>
            <w:r>
              <w:rPr>
                <w:rFonts w:ascii="Cambria" w:hAnsi="Cambria" w:cs="Cambria" w:eastAsia="Cambria"/>
                <w:b w:val="0"/>
                <w:i w:val="0"/>
                <w:color w:val="000000"/>
                <w:sz w:val="16"/>
              </w:rPr>
              <w:t>0,272</w:t>
            </w:r>
          </w:p>
        </w:tc>
        <w:tc>
          <w:tcPr>
            <w:tcW w:w="799" w:type="dxa"/>
            <w:tcBorders>
              <w:top w:val="nil"/>
              <w:left w:val="nil"/>
              <w:bottom w:val="nil"/>
              <w:right w:val="nil"/>
            </w:tcBorders>
          </w:tcPr>
          <w:p>
            <w:pPr>
              <w:spacing w:before="20" w:after="20"/>
              <w:jc w:val="right"/>
            </w:pPr>
            <w:r>
              <w:rPr>
                <w:rFonts w:ascii="Cambria" w:hAnsi="Cambria" w:cs="Cambria" w:eastAsia="Cambria"/>
                <w:b w:val="0"/>
                <w:i w:val="0"/>
                <w:color w:val="000000"/>
                <w:sz w:val="16"/>
              </w:rPr>
              <w:t>0,005</w:t>
            </w:r>
          </w:p>
        </w:tc>
      </w:tr>
      <w:tr>
        <w:tc>
          <w:tcPr>
            <w:tcW w:w="1882" w:type="dxa"/>
            <w:tcBorders>
              <w:top w:val="nil"/>
              <w:left w:val="nil"/>
              <w:bottom w:val="nil"/>
              <w:right w:val="nil"/>
            </w:tcBorders>
          </w:tcPr>
          <w:p>
            <w:pPr>
              <w:spacing w:before="20" w:after="20"/>
              <w:jc w:val="left"/>
            </w:pPr>
            <w:r>
              <w:rPr>
                <w:rFonts w:ascii="Cambria" w:hAnsi="Cambria" w:cs="Cambria" w:eastAsia="Cambria"/>
                <w:b w:val="0"/>
                <w:i w:val="0"/>
                <w:color w:val="000000"/>
                <w:sz w:val="16"/>
              </w:rPr>
              <w:t>OR geri çağırma</w:t>
            </w:r>
          </w:p>
        </w:tc>
        <w:tc>
          <w:tcPr>
            <w:tcW w:w="1141" w:type="dxa"/>
            <w:tcBorders>
              <w:top w:val="nil"/>
              <w:left w:val="nil"/>
              <w:bottom w:val="nil"/>
              <w:right w:val="nil"/>
            </w:tcBorders>
          </w:tcPr>
          <w:p>
            <w:pPr>
              <w:spacing w:before="20" w:after="20"/>
              <w:jc w:val="right"/>
            </w:pPr>
            <w:r>
              <w:rPr>
                <w:rFonts w:ascii="Cambria" w:hAnsi="Cambria" w:cs="Cambria" w:eastAsia="Cambria"/>
                <w:b w:val="0"/>
                <w:i w:val="0"/>
                <w:color w:val="000000"/>
                <w:sz w:val="16"/>
              </w:rPr>
              <w:t>0,841</w:t>
            </w:r>
          </w:p>
        </w:tc>
        <w:tc>
          <w:tcPr>
            <w:tcW w:w="913" w:type="dxa"/>
            <w:tcBorders>
              <w:top w:val="nil"/>
              <w:left w:val="nil"/>
              <w:bottom w:val="nil"/>
              <w:right w:val="nil"/>
            </w:tcBorders>
          </w:tcPr>
          <w:p>
            <w:pPr>
              <w:spacing w:before="20" w:after="20"/>
              <w:jc w:val="right"/>
            </w:pPr>
            <w:r>
              <w:rPr>
                <w:rFonts w:ascii="Cambria" w:hAnsi="Cambria" w:cs="Cambria" w:eastAsia="Cambria"/>
                <w:b w:val="0"/>
                <w:i w:val="0"/>
                <w:color w:val="000000"/>
                <w:sz w:val="16"/>
              </w:rPr>
              <w:t>0,854</w:t>
            </w:r>
          </w:p>
        </w:tc>
        <w:tc>
          <w:tcPr>
            <w:tcW w:w="799" w:type="dxa"/>
            <w:tcBorders>
              <w:top w:val="nil"/>
              <w:left w:val="nil"/>
              <w:bottom w:val="nil"/>
              <w:right w:val="nil"/>
            </w:tcBorders>
          </w:tcPr>
          <w:p>
            <w:pPr>
              <w:spacing w:before="20" w:after="20"/>
              <w:jc w:val="right"/>
            </w:pPr>
            <w:r>
              <w:rPr>
                <w:rFonts w:ascii="Cambria" w:hAnsi="Cambria" w:cs="Cambria" w:eastAsia="Cambria"/>
                <w:b w:val="0"/>
                <w:i w:val="0"/>
                <w:color w:val="000000"/>
                <w:sz w:val="16"/>
              </w:rPr>
              <w:t>0,013</w:t>
            </w:r>
          </w:p>
        </w:tc>
      </w:tr>
      <w:tr>
        <w:tc>
          <w:tcPr>
            <w:tcW w:w="1882" w:type="dxa"/>
            <w:tcBorders>
              <w:top w:val="nil"/>
              <w:left w:val="nil"/>
              <w:bottom w:val="nil"/>
              <w:right w:val="nil"/>
            </w:tcBorders>
          </w:tcPr>
          <w:p>
            <w:pPr>
              <w:spacing w:before="20" w:after="20"/>
              <w:jc w:val="left"/>
            </w:pPr>
            <w:r>
              <w:rPr>
                <w:rFonts w:ascii="Cambria" w:hAnsi="Cambria" w:cs="Cambria" w:eastAsia="Cambria"/>
                <w:b w:val="0"/>
                <w:i w:val="0"/>
                <w:color w:val="000000"/>
                <w:sz w:val="16"/>
              </w:rPr>
              <w:t>Geri çağırma — ham</w:t>
            </w:r>
          </w:p>
        </w:tc>
        <w:tc>
          <w:tcPr>
            <w:tcW w:w="1141" w:type="dxa"/>
            <w:tcBorders>
              <w:top w:val="nil"/>
              <w:left w:val="nil"/>
              <w:bottom w:val="nil"/>
              <w:right w:val="nil"/>
            </w:tcBorders>
          </w:tcPr>
          <w:p>
            <w:pPr>
              <w:spacing w:before="20" w:after="20"/>
              <w:jc w:val="right"/>
            </w:pPr>
            <w:r>
              <w:rPr>
                <w:rFonts w:ascii="Cambria" w:hAnsi="Cambria" w:cs="Cambria" w:eastAsia="Cambria"/>
                <w:b w:val="0"/>
                <w:i w:val="0"/>
                <w:color w:val="000000"/>
                <w:sz w:val="16"/>
              </w:rPr>
              <w:t>0,601</w:t>
            </w:r>
          </w:p>
        </w:tc>
        <w:tc>
          <w:tcPr>
            <w:tcW w:w="913" w:type="dxa"/>
            <w:tcBorders>
              <w:top w:val="nil"/>
              <w:left w:val="nil"/>
              <w:bottom w:val="nil"/>
              <w:right w:val="nil"/>
            </w:tcBorders>
          </w:tcPr>
          <w:p>
            <w:pPr>
              <w:spacing w:before="20" w:after="20"/>
              <w:jc w:val="right"/>
            </w:pPr>
            <w:r>
              <w:rPr>
                <w:rFonts w:ascii="Cambria" w:hAnsi="Cambria" w:cs="Cambria" w:eastAsia="Cambria"/>
                <w:b w:val="0"/>
                <w:i w:val="0"/>
                <w:color w:val="000000"/>
                <w:sz w:val="16"/>
              </w:rPr>
              <w:t>0,613</w:t>
            </w:r>
          </w:p>
        </w:tc>
        <w:tc>
          <w:tcPr>
            <w:tcW w:w="799" w:type="dxa"/>
            <w:tcBorders>
              <w:top w:val="nil"/>
              <w:left w:val="nil"/>
              <w:bottom w:val="nil"/>
              <w:right w:val="nil"/>
            </w:tcBorders>
          </w:tcPr>
          <w:p>
            <w:pPr>
              <w:spacing w:before="20" w:after="20"/>
              <w:jc w:val="right"/>
            </w:pPr>
            <w:r>
              <w:rPr>
                <w:rFonts w:ascii="Cambria" w:hAnsi="Cambria" w:cs="Cambria" w:eastAsia="Cambria"/>
                <w:b w:val="0"/>
                <w:i w:val="0"/>
                <w:color w:val="000000"/>
                <w:sz w:val="16"/>
              </w:rPr>
              <w:t>0,012</w:t>
            </w:r>
          </w:p>
        </w:tc>
      </w:tr>
      <w:tr>
        <w:tc>
          <w:tcPr>
            <w:tcW w:w="1882" w:type="dxa"/>
            <w:tcBorders>
              <w:top w:val="nil"/>
              <w:left w:val="nil"/>
              <w:bottom w:val="nil"/>
              <w:right w:val="nil"/>
            </w:tcBorders>
          </w:tcPr>
          <w:p>
            <w:pPr>
              <w:spacing w:before="20" w:after="20"/>
              <w:jc w:val="left"/>
            </w:pPr>
            <w:r>
              <w:rPr>
                <w:rFonts w:ascii="Cambria" w:hAnsi="Cambria" w:cs="Cambria" w:eastAsia="Cambria"/>
                <w:b w:val="0"/>
                <w:i w:val="0"/>
                <w:color w:val="000000"/>
                <w:sz w:val="16"/>
              </w:rPr>
              <w:t>Gizyazar hatası — kalıntı</w:t>
            </w:r>
          </w:p>
        </w:tc>
        <w:tc>
          <w:tcPr>
            <w:tcW w:w="1141" w:type="dxa"/>
            <w:tcBorders>
              <w:top w:val="nil"/>
              <w:left w:val="nil"/>
              <w:bottom w:val="nil"/>
              <w:right w:val="nil"/>
            </w:tcBorders>
          </w:tcPr>
          <w:p>
            <w:pPr>
              <w:spacing w:before="20" w:after="20"/>
              <w:jc w:val="right"/>
            </w:pPr>
            <w:r>
              <w:rPr>
                <w:rFonts w:ascii="Cambria" w:hAnsi="Cambria" w:cs="Cambria" w:eastAsia="Cambria"/>
                <w:b w:val="0"/>
                <w:i w:val="0"/>
                <w:color w:val="000000"/>
                <w:sz w:val="16"/>
              </w:rPr>
              <w:t>0,975</w:t>
            </w:r>
          </w:p>
        </w:tc>
        <w:tc>
          <w:tcPr>
            <w:tcW w:w="913" w:type="dxa"/>
            <w:tcBorders>
              <w:top w:val="nil"/>
              <w:left w:val="nil"/>
              <w:bottom w:val="nil"/>
              <w:right w:val="nil"/>
            </w:tcBorders>
          </w:tcPr>
          <w:p>
            <w:pPr>
              <w:spacing w:before="20" w:after="20"/>
              <w:jc w:val="right"/>
            </w:pPr>
            <w:r>
              <w:rPr>
                <w:rFonts w:ascii="Cambria" w:hAnsi="Cambria" w:cs="Cambria" w:eastAsia="Cambria"/>
                <w:b w:val="0"/>
                <w:i w:val="0"/>
                <w:color w:val="000000"/>
                <w:sz w:val="16"/>
              </w:rPr>
              <w:t>0,986</w:t>
            </w:r>
          </w:p>
        </w:tc>
        <w:tc>
          <w:tcPr>
            <w:tcW w:w="799" w:type="dxa"/>
            <w:tcBorders>
              <w:top w:val="nil"/>
              <w:left w:val="nil"/>
              <w:bottom w:val="nil"/>
              <w:right w:val="nil"/>
            </w:tcBorders>
          </w:tcPr>
          <w:p>
            <w:pPr>
              <w:spacing w:before="20" w:after="20"/>
              <w:jc w:val="right"/>
            </w:pPr>
            <w:r>
              <w:rPr>
                <w:rFonts w:ascii="Cambria" w:hAnsi="Cambria" w:cs="Cambria" w:eastAsia="Cambria"/>
                <w:b w:val="0"/>
                <w:i w:val="0"/>
                <w:color w:val="000000"/>
                <w:sz w:val="16"/>
              </w:rPr>
              <w:t>0,011</w:t>
            </w:r>
          </w:p>
        </w:tc>
      </w:tr>
      <w:tr>
        <w:tc>
          <w:tcPr>
            <w:tcW w:w="1882" w:type="dxa"/>
            <w:tcBorders>
              <w:top w:val="nil"/>
              <w:left w:val="nil"/>
              <w:bottom w:val="nil"/>
              <w:right w:val="nil"/>
            </w:tcBorders>
          </w:tcPr>
          <w:p>
            <w:pPr>
              <w:spacing w:before="20" w:after="20"/>
              <w:jc w:val="left"/>
            </w:pPr>
            <w:r>
              <w:rPr>
                <w:rFonts w:ascii="Cambria" w:hAnsi="Cambria" w:cs="Cambria" w:eastAsia="Cambria"/>
                <w:b w:val="0"/>
                <w:i w:val="0"/>
                <w:color w:val="000000"/>
                <w:sz w:val="16"/>
              </w:rPr>
              <w:t>Ham model AUC</w:t>
            </w:r>
          </w:p>
        </w:tc>
        <w:tc>
          <w:tcPr>
            <w:tcW w:w="1141" w:type="dxa"/>
            <w:tcBorders>
              <w:top w:val="nil"/>
              <w:left w:val="nil"/>
              <w:bottom w:val="nil"/>
              <w:right w:val="nil"/>
            </w:tcBorders>
          </w:tcPr>
          <w:p>
            <w:pPr>
              <w:spacing w:before="20" w:after="20"/>
              <w:jc w:val="right"/>
            </w:pPr>
            <w:r>
              <w:rPr>
                <w:rFonts w:ascii="Cambria" w:hAnsi="Cambria" w:cs="Cambria" w:eastAsia="Cambria"/>
                <w:b w:val="0"/>
                <w:i w:val="0"/>
                <w:color w:val="000000"/>
                <w:sz w:val="16"/>
              </w:rPr>
              <w:t>0,943</w:t>
            </w:r>
          </w:p>
        </w:tc>
        <w:tc>
          <w:tcPr>
            <w:tcW w:w="913" w:type="dxa"/>
            <w:tcBorders>
              <w:top w:val="nil"/>
              <w:left w:val="nil"/>
              <w:bottom w:val="nil"/>
              <w:right w:val="nil"/>
            </w:tcBorders>
          </w:tcPr>
          <w:p>
            <w:pPr>
              <w:spacing w:before="20" w:after="20"/>
              <w:jc w:val="right"/>
            </w:pPr>
            <w:r>
              <w:rPr>
                <w:rFonts w:ascii="Cambria" w:hAnsi="Cambria" w:cs="Cambria" w:eastAsia="Cambria"/>
                <w:b w:val="0"/>
                <w:i w:val="0"/>
                <w:color w:val="000000"/>
                <w:sz w:val="16"/>
              </w:rPr>
              <w:t>0,952</w:t>
            </w:r>
          </w:p>
        </w:tc>
        <w:tc>
          <w:tcPr>
            <w:tcW w:w="799" w:type="dxa"/>
            <w:tcBorders>
              <w:top w:val="nil"/>
              <w:left w:val="nil"/>
              <w:bottom w:val="nil"/>
              <w:right w:val="nil"/>
            </w:tcBorders>
          </w:tcPr>
          <w:p>
            <w:pPr>
              <w:spacing w:before="20" w:after="20"/>
              <w:jc w:val="right"/>
            </w:pPr>
            <w:r>
              <w:rPr>
                <w:rFonts w:ascii="Cambria" w:hAnsi="Cambria" w:cs="Cambria" w:eastAsia="Cambria"/>
                <w:b w:val="0"/>
                <w:i w:val="0"/>
                <w:color w:val="000000"/>
                <w:sz w:val="16"/>
              </w:rPr>
              <w:t>0,009</w:t>
            </w:r>
          </w:p>
        </w:tc>
      </w:tr>
      <w:tr>
        <w:tc>
          <w:tcPr>
            <w:tcW w:w="1882" w:type="dxa"/>
            <w:tcBorders>
              <w:top w:val="nil"/>
              <w:left w:val="nil"/>
              <w:bottom w:val="single" w:sz="8" w:space="0" w:color="000000"/>
              <w:right w:val="nil"/>
            </w:tcBorders>
          </w:tcPr>
          <w:p>
            <w:pPr>
              <w:spacing w:before="20" w:after="20"/>
              <w:jc w:val="left"/>
            </w:pPr>
            <w:r>
              <w:rPr>
                <w:rFonts w:ascii="Cambria" w:hAnsi="Cambria" w:cs="Cambria" w:eastAsia="Cambria"/>
                <w:b w:val="0"/>
                <w:i w:val="0"/>
                <w:color w:val="000000"/>
                <w:sz w:val="16"/>
              </w:rPr>
              <w:t>Birleşim MAKS — AUC</w:t>
            </w:r>
          </w:p>
        </w:tc>
        <w:tc>
          <w:tcPr>
            <w:tcW w:w="1141" w:type="dxa"/>
            <w:tcBorders>
              <w:top w:val="nil"/>
              <w:left w:val="nil"/>
              <w:bottom w:val="single" w:sz="8" w:space="0" w:color="000000"/>
              <w:right w:val="nil"/>
            </w:tcBorders>
          </w:tcPr>
          <w:p>
            <w:pPr>
              <w:spacing w:before="20" w:after="20"/>
              <w:jc w:val="right"/>
            </w:pPr>
            <w:r>
              <w:rPr>
                <w:rFonts w:ascii="Cambria" w:hAnsi="Cambria" w:cs="Cambria" w:eastAsia="Cambria"/>
                <w:b w:val="0"/>
                <w:i w:val="0"/>
                <w:color w:val="000000"/>
                <w:sz w:val="16"/>
              </w:rPr>
              <w:t>0,974</w:t>
            </w:r>
          </w:p>
        </w:tc>
        <w:tc>
          <w:tcPr>
            <w:tcW w:w="913" w:type="dxa"/>
            <w:tcBorders>
              <w:top w:val="nil"/>
              <w:left w:val="nil"/>
              <w:bottom w:val="single" w:sz="8" w:space="0" w:color="000000"/>
              <w:right w:val="nil"/>
            </w:tcBorders>
          </w:tcPr>
          <w:p>
            <w:pPr>
              <w:spacing w:before="20" w:after="20"/>
              <w:jc w:val="right"/>
            </w:pPr>
            <w:r>
              <w:rPr>
                <w:rFonts w:ascii="Cambria" w:hAnsi="Cambria" w:cs="Cambria" w:eastAsia="Cambria"/>
                <w:b w:val="0"/>
                <w:i w:val="0"/>
                <w:color w:val="000000"/>
                <w:sz w:val="16"/>
              </w:rPr>
              <w:t>0,976</w:t>
            </w:r>
          </w:p>
        </w:tc>
        <w:tc>
          <w:tcPr>
            <w:tcW w:w="799" w:type="dxa"/>
            <w:tcBorders>
              <w:top w:val="nil"/>
              <w:left w:val="nil"/>
              <w:bottom w:val="single" w:sz="8" w:space="0" w:color="000000"/>
              <w:right w:val="nil"/>
            </w:tcBorders>
          </w:tcPr>
          <w:p>
            <w:pPr>
              <w:spacing w:before="20" w:after="20"/>
              <w:jc w:val="right"/>
            </w:pPr>
            <w:r>
              <w:rPr>
                <w:rFonts w:ascii="Cambria" w:hAnsi="Cambria" w:cs="Cambria" w:eastAsia="Cambria"/>
                <w:b w:val="0"/>
                <w:i w:val="0"/>
                <w:color w:val="000000"/>
                <w:sz w:val="16"/>
              </w:rPr>
              <w:t>0,002</w:t>
            </w:r>
          </w:p>
        </w:tc>
      </w:tr>
    </w:tbl>
    <w:p>
      <w:pPr>
        <w:spacing w:before="40" w:after="120"/>
        <w:jc w:val="both"/>
      </w:pPr>
      <w:r>
        <w:rPr>
          <w:rFonts w:ascii="Cambria" w:hAnsi="Cambria" w:cs="Cambria" w:eastAsia="Cambria"/>
          <w:b w:val="0"/>
          <w:i/>
          <w:color w:val="444444"/>
          <w:sz w:val="16"/>
        </w:rPr>
        <w:t>Belirleyici satır sensör gürültüsüdür. O senaryoda 0,267 alan bir kalıntı modeli, ancak kalıntının fiziksel anlamını yitirdiği, yani amper ile newton metrenin doğrudan çıkarıldığı bir hatta ortaya çıkabilir. Pencere sayılarının 179.896'da 8 ve 1 pencereye kadar uyuşması, aynı ham veri kümesinin aynı biçimde bölündüğünü doğrulamaktadır.</w:t>
      </w:r>
    </w:p>
    <w:p>
      <w:pPr>
        <w:pStyle w:val="Paragraf"/>
        <w:spacing w:before="120" w:after="0"/>
        <w:jc w:val="both"/>
      </w:pPr>
      <w:r>
        <w:rPr>
          <w:rFonts w:ascii="Cambria" w:hAnsi="Cambria" w:cs="Cambria" w:eastAsia="Cambria"/>
          <w:b w:val="0"/>
          <w:i w:val="0"/>
          <w:color w:val="000000"/>
          <w:sz w:val="20"/>
        </w:rPr>
        <w:t>Önceki çalışmanın yapısal iddiası bundan etkilenmemektedir. Kendi enjeksiyon protokolü altında tamamlayıcılık her iki hatta da ölçülmekte — yeniden üretimde %23,9, genişletilmiş hatta %27,6 yalnız kalıntı — ve birleşim marjı ikisinde de ayakta kalmaktadır. Değişen şey, sayıların hangi fiziksel ölçekte okunması gerektiği ve ayrıca arızalar fiziksel olarak enjekte edildiğinde o marja ne olduğudur (Bölüm 4.4). Ölçeği saptamak, bu çalışmanın geri kalanını mümkün kılan şeydir: newton metre cinsinden arıza genlikleri, anlamlı katsayılara sahip bir sürtünme terimi ve büyüklüğü gerçek bir temas kuvvetiyle karşılaştırılabilir bir kalıntı, hepsi bunu gerektirir.</w:t>
      </w:r>
    </w:p>
    <w:p>
      <w:pPr>
        <w:pStyle w:val="Balk-1"/>
        <w:keepNext/>
        <w:spacing w:before="160" w:after="40"/>
      </w:pPr>
      <w:r>
        <w:rPr>
          <w:rFonts w:ascii="Cambria" w:hAnsi="Cambria" w:cs="Cambria" w:eastAsia="Cambria"/>
          <w:b/>
          <w:i w:val="0"/>
          <w:color w:val="000000"/>
          <w:sz w:val="20"/>
        </w:rPr>
        <w:t>4.6. Gecikme ve Hesap Bütçesi</w:t>
      </w:r>
    </w:p>
    <w:p>
      <w:pPr>
        <w:pStyle w:val="Paragraf"/>
        <w:spacing w:before="120" w:after="0"/>
        <w:jc w:val="both"/>
      </w:pPr>
      <w:r>
        <w:rPr>
          <w:rFonts w:ascii="Cambria" w:hAnsi="Cambria" w:cs="Cambria" w:eastAsia="Cambria"/>
          <w:b w:val="0"/>
          <w:i w:val="0"/>
          <w:color w:val="000000"/>
          <w:sz w:val="20"/>
        </w:rPr>
        <w:t>Örnek başına ters dinamik değerlendirmesi 22 µs, Jacobian ise yaklaşık 30 µs tutmakta; ikisi birlikte 500 Hz bütçesinin %1,5'idir. Karar başına iki ONNX ileri geçişi 5,9 ms, yani 50 ms bütçesinin %12'sidir; bu değer çevrimdışı tekrar oynatmada CPU üzerinde ölçülmüştür. Hücrede ise 8,5 ms'dir (bütçenin %17'si), çünkü ROS 2 yürütücüsü ve kayıt katmanı aynı çekirdekleri paylaşmaktadır; dağıtım iş istasyonunda CUDA sağlayıcısıyla her ikisi de daha da düşmektedir. Tespit gecikmesi 50 ms süzgeç gecikmesi ile 50 ms karar periyodunun toplamıdır; iki ardışık karar kuralı etkinken bir karar periyodu daha eklenir ve uçtan uca 120–150 ms eder. 0,25 m/s'lik takım hızında bu, yaklaşık 3,75 cm ek yol demektir.</w:t>
      </w:r>
    </w:p>
    <w:p>
      <w:pPr>
        <w:pStyle w:val="Paragraf"/>
        <w:spacing w:before="120" w:after="0"/>
        <w:jc w:val="both"/>
      </w:pPr>
      <w:r>
        <w:rPr>
          <w:rFonts w:ascii="Cambria" w:hAnsi="Cambria" w:cs="Cambria" w:eastAsia="Cambria"/>
          <w:b w:val="0"/>
          <w:i w:val="0"/>
          <w:color w:val="000000"/>
          <w:sz w:val="20"/>
        </w:rPr>
        <w:t>Hazırlanan verinin dağıtılan sınıftan uçtan uca tekrar oynatılması — bir arıza taşıyacak kadar uzun beş test koşusu üzerinde, 27.135 örnek, 0,9 dakika robot zamanı — temiz veride %0,1 yanlış alarm oranı vermektedir. Çarpışma ve sensör gürültüsü 5 koşunun 5'inde, sırasıyla 60 ms ve 70 ms medyan gecikmeyle tespit edilmektedir; motor kayması 5 koşunun 2'sinde 2.905 ms'de; gizyazar hatası ise hiçbirinde. Gecikme ayrımı yapısaldır — 200 ms'lik bir pencere içinde yavaş bir rampa neredeyse sabit bir kaymadır ve bir özkodlayıcı sabit bir kaymayı zorlanmadan yeniden inşa eder — ancak gizyazar sonucu bir gecikme etkisi değildir. O, Tablo 8'in fiziksel enjeksiyon sonucunun karar düzeyinde görünen hâlidir: eklem 5'teki 1,5 rad'lık bir basamak kalıntıya, devralınan protokolün elle seçtiği 8 Nm olarak değil Jacobian üzerinden yayılmaktadır ve yayılan bozulma eşiği aşmamaktadır. Örneklem küçüktür ve öyle raporlanmaktadır: koşu-ayrık test bölmesinin o uzunlukta içerdiği koşu sayısı beştir.</w:t>
      </w:r>
    </w:p>
    <w:p>
      <w:pPr>
        <w:pStyle w:val="Balk-1"/>
        <w:keepNext/>
        <w:spacing w:before="160" w:after="40"/>
      </w:pPr>
      <w:r>
        <w:rPr>
          <w:rFonts w:ascii="Cambria" w:hAnsi="Cambria" w:cs="Cambria" w:eastAsia="Cambria"/>
          <w:b/>
          <w:i w:val="0"/>
          <w:color w:val="000000"/>
          <w:sz w:val="20"/>
        </w:rPr>
        <w:t>4.7. Gerçek Robotta Devreye Alma</w:t>
      </w:r>
    </w:p>
    <w:p>
      <w:pPr>
        <w:pStyle w:val="Paragraf"/>
        <w:spacing w:before="120" w:after="0"/>
        <w:jc w:val="both"/>
        <w:sectPr w:rsidR="006A6232" w:rsidRPr="006A6232" w:rsidSect="00327F76">
          <w:footerReference w:type="default" r:id="rId25"/>
          <w:type w:val="continuous"/>
          <w:pgSz w:w="11906" w:h="16838" w:code="9"/>
          <w:pgMar w:top="1701" w:right="851" w:bottom="1418" w:left="851" w:header="1134" w:footer="851" w:gutter="0"/>
          <w:cols w:num="2" w:space="709" w:equalWidth="1"/>
          <w:docGrid w:linePitch="360"/>
        </w:sectPr>
      </w:pPr>
      <w:r>
        <w:rPr>
          <w:rFonts w:ascii="Cambria" w:hAnsi="Cambria" w:cs="Cambria" w:eastAsia="Cambria"/>
          <w:b w:val="0"/>
          <w:i w:val="0"/>
          <w:color w:val="000000"/>
          <w:sz w:val="20"/>
        </w:rPr>
        <w:t>Buraya kadarki tüm sonuçlar kayıtlı veri kümesi üzerinde elde edilmiştir. Dedektör ardından fiziksel UR10e hücresinde devreye alınmış; platformun iki üretim senaryosu — otonom görsel muayene çevrimi ve bir pick-and-place senaryosu — ile anomalilerin kasten provoke edildiği koşular kapsanmıştır. Her karar diske, her alarm bloğu bir olay kaydına ve her oturum; model sağlama toplamlarını, eşikleri ve yürürlükteki kalıntı tanımını adlandıran bir köken kaydına yazılmıştır. Bu kayıt bir defter tutma işi değildir: bir ilk deneme, yazılım paketi onları varsayılan olarak dağıttığı için geçersiz kılınmış modellerle koşmuş ve bunu başka hiçbir şey açığa çıkarmazdı. Tablo 12, çevrimiçi sistemin referans yöntemden nasıl saptığını özetlemektedir.</w:t>
      </w:r>
    </w:p>
    <w:p>
      <w:pPr>
        <w:keepNext/>
        <w:spacing w:before="160" w:after="60"/>
        <w:jc w:val="left"/>
      </w:pPr>
      <w:r>
        <w:rPr>
          <w:rFonts w:ascii="Cambria" w:hAnsi="Cambria" w:cs="Cambria" w:eastAsia="Cambria"/>
          <w:b/>
          <w:i w:val="0"/>
          <w:color w:val="000000"/>
          <w:sz w:val="18"/>
        </w:rPr>
        <w:t>Tablo 12.</w:t>
      </w:r>
      <w:r>
        <w:rPr>
          <w:rFonts w:ascii="Cambria" w:hAnsi="Cambria" w:cs="Cambria" w:eastAsia="Cambria"/>
          <w:b w:val="0"/>
          <w:i w:val="0"/>
          <w:color w:val="000000"/>
          <w:sz w:val="18"/>
        </w:rPr>
        <w:t xml:space="preserve"> Çevrimiçi Sistemin Referans Yöntemden Sapmaları.</w:t>
      </w:r>
    </w:p>
    <w:tbl>
      <w:tblPr>
        <w:jc w:val="center"/>
        <w:tblLook w:firstColumn="1" w:firstRow="1" w:lastColumn="0" w:lastRow="0" w:noHBand="0" w:noVBand="1" w:val="04A0"/>
        <w:tblW w:w="10149" w:type="dxa"/>
        <w:tblLayout w:type="fixed"/>
      </w:tblPr>
      <w:tblGrid>
        <w:gridCol w:w="4471"/>
        <w:gridCol w:w="1703"/>
        <w:gridCol w:w="3975"/>
      </w:tblGrid>
      <w:tr>
        <w:tc>
          <w:tcPr>
            <w:tcW w:w="4471"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Sapma</w:t>
            </w:r>
          </w:p>
        </w:tc>
        <w:tc>
          <w:tcPr>
            <w:tcW w:w="1703"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Durum</w:t>
            </w:r>
          </w:p>
        </w:tc>
        <w:tc>
          <w:tcPr>
            <w:tcW w:w="3975"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Gerekçe</w:t>
            </w:r>
          </w:p>
        </w:tc>
      </w:tr>
      <w:tr>
        <w:tc>
          <w:tcPr>
            <w:tcW w:w="4471" w:type="dxa"/>
            <w:tcBorders>
              <w:top w:val="single" w:sz="4" w:space="0" w:color="000000"/>
              <w:left w:val="nil"/>
              <w:bottom w:val="nil"/>
              <w:right w:val="nil"/>
            </w:tcBorders>
          </w:tcPr>
          <w:p>
            <w:pPr>
              <w:spacing w:before="20" w:after="20"/>
              <w:jc w:val="left"/>
            </w:pPr>
            <w:r>
              <w:rPr>
                <w:rFonts w:ascii="Cambria" w:hAnsi="Cambria" w:cs="Cambria" w:eastAsia="Cambria"/>
                <w:b w:val="0"/>
                <w:i w:val="0"/>
                <w:color w:val="000000"/>
                <w:sz w:val="16"/>
              </w:rPr>
              <w:t>D1  Normalleştirme sınırları ve eşik hücrede ölçüldü</w:t>
            </w:r>
          </w:p>
        </w:tc>
        <w:tc>
          <w:tcPr>
            <w:tcW w:w="1703" w:type="dxa"/>
            <w:tcBorders>
              <w:top w:val="single" w:sz="4" w:space="0" w:color="000000"/>
              <w:left w:val="nil"/>
              <w:bottom w:val="nil"/>
              <w:right w:val="nil"/>
            </w:tcBorders>
          </w:tcPr>
          <w:p>
            <w:pPr>
              <w:spacing w:before="20" w:after="20"/>
              <w:jc w:val="left"/>
            </w:pPr>
            <w:r>
              <w:rPr>
                <w:rFonts w:ascii="Cambria" w:hAnsi="Cambria" w:cs="Cambria" w:eastAsia="Cambria"/>
                <w:b w:val="0"/>
                <w:i w:val="0"/>
                <w:color w:val="000000"/>
                <w:sz w:val="16"/>
              </w:rPr>
              <w:t>zorunlu</w:t>
            </w:r>
          </w:p>
        </w:tc>
        <w:tc>
          <w:tcPr>
            <w:tcW w:w="3975" w:type="dxa"/>
            <w:tcBorders>
              <w:top w:val="single" w:sz="4" w:space="0" w:color="000000"/>
              <w:left w:val="nil"/>
              <w:bottom w:val="nil"/>
              <w:right w:val="nil"/>
            </w:tcBorders>
          </w:tcPr>
          <w:p>
            <w:pPr>
              <w:spacing w:before="20" w:after="20"/>
              <w:jc w:val="left"/>
            </w:pPr>
            <w:r>
              <w:rPr>
                <w:rFonts w:ascii="Cambria" w:hAnsi="Cambria" w:cs="Cambria" w:eastAsia="Cambria"/>
                <w:b w:val="0"/>
                <w:i w:val="0"/>
                <w:color w:val="000000"/>
                <w:sz w:val="16"/>
              </w:rPr>
              <w:t>çevrimdışı değerler taşınmıyor; aşağıda ölçülmüştür</w:t>
            </w:r>
          </w:p>
        </w:tc>
      </w:tr>
      <w:tr>
        <w:tc>
          <w:tcPr>
            <w:tcW w:w="4471" w:type="dxa"/>
            <w:tcBorders>
              <w:top w:val="nil"/>
              <w:left w:val="nil"/>
              <w:bottom w:val="nil"/>
              <w:right w:val="nil"/>
            </w:tcBorders>
          </w:tcPr>
          <w:p>
            <w:pPr>
              <w:spacing w:before="20" w:after="20"/>
              <w:jc w:val="left"/>
            </w:pPr>
            <w:r>
              <w:rPr>
                <w:rFonts w:ascii="Cambria" w:hAnsi="Cambria" w:cs="Cambria" w:eastAsia="Cambria"/>
                <w:b w:val="0"/>
                <w:i w:val="0"/>
                <w:color w:val="000000"/>
                <w:sz w:val="16"/>
              </w:rPr>
              <w:t>D2  Birleşik skor için çalışma eşiği</w:t>
            </w:r>
          </w:p>
        </w:tc>
        <w:tc>
          <w:tcPr>
            <w:tcW w:w="1703" w:type="dxa"/>
            <w:tcBorders>
              <w:top w:val="nil"/>
              <w:left w:val="nil"/>
              <w:bottom w:val="nil"/>
              <w:right w:val="nil"/>
            </w:tcBorders>
          </w:tcPr>
          <w:p>
            <w:pPr>
              <w:spacing w:before="20" w:after="20"/>
              <w:jc w:val="left"/>
            </w:pPr>
            <w:r>
              <w:rPr>
                <w:rFonts w:ascii="Cambria" w:hAnsi="Cambria" w:cs="Cambria" w:eastAsia="Cambria"/>
                <w:b w:val="0"/>
                <w:i w:val="0"/>
                <w:color w:val="000000"/>
                <w:sz w:val="16"/>
              </w:rPr>
              <w:t>zorunlu</w:t>
            </w:r>
          </w:p>
        </w:tc>
        <w:tc>
          <w:tcPr>
            <w:tcW w:w="3975" w:type="dxa"/>
            <w:tcBorders>
              <w:top w:val="nil"/>
              <w:left w:val="nil"/>
              <w:bottom w:val="nil"/>
              <w:right w:val="nil"/>
            </w:tcBorders>
          </w:tcPr>
          <w:p>
            <w:pPr>
              <w:spacing w:before="20" w:after="20"/>
              <w:jc w:val="left"/>
            </w:pPr>
            <w:r>
              <w:rPr>
                <w:rFonts w:ascii="Cambria" w:hAnsi="Cambria" w:cs="Cambria" w:eastAsia="Cambria"/>
                <w:b w:val="0"/>
                <w:i w:val="0"/>
                <w:color w:val="000000"/>
                <w:sz w:val="16"/>
              </w:rPr>
              <w:t>referans yöntem yalnız En iyi F1 raporlar, o da tahmin ettiği etiketleri gerektirir</w:t>
            </w:r>
          </w:p>
        </w:tc>
      </w:tr>
      <w:tr>
        <w:tc>
          <w:tcPr>
            <w:tcW w:w="4471" w:type="dxa"/>
            <w:tcBorders>
              <w:top w:val="nil"/>
              <w:left w:val="nil"/>
              <w:bottom w:val="nil"/>
              <w:right w:val="nil"/>
            </w:tcBorders>
          </w:tcPr>
          <w:p>
            <w:pPr>
              <w:spacing w:before="20" w:after="20"/>
              <w:jc w:val="left"/>
            </w:pPr>
            <w:r>
              <w:rPr>
                <w:rFonts w:ascii="Cambria" w:hAnsi="Cambria" w:cs="Cambria" w:eastAsia="Cambria"/>
                <w:b w:val="0"/>
                <w:i w:val="0"/>
                <w:color w:val="000000"/>
                <w:sz w:val="16"/>
              </w:rPr>
              <w:t>D3  Uyarlanabilir medyan + k·MAD kuralı</w:t>
            </w:r>
          </w:p>
        </w:tc>
        <w:tc>
          <w:tcPr>
            <w:tcW w:w="1703" w:type="dxa"/>
            <w:tcBorders>
              <w:top w:val="nil"/>
              <w:left w:val="nil"/>
              <w:bottom w:val="nil"/>
              <w:right w:val="nil"/>
            </w:tcBorders>
          </w:tcPr>
          <w:p>
            <w:pPr>
              <w:spacing w:before="20" w:after="20"/>
              <w:jc w:val="left"/>
            </w:pPr>
            <w:r>
              <w:rPr>
                <w:rFonts w:ascii="Cambria" w:hAnsi="Cambria" w:cs="Cambria" w:eastAsia="Cambria"/>
                <w:b w:val="0"/>
                <w:i w:val="0"/>
                <w:color w:val="000000"/>
                <w:sz w:val="16"/>
              </w:rPr>
              <w:t xml:space="preserve">isteğe bağlı, </w:t>
            </w:r>
            <w:r>
              <w:rPr>
                <w:rFonts w:ascii="Cambria" w:hAnsi="Cambria" w:cs="Cambria" w:eastAsia="Cambria"/>
                <w:b/>
                <w:i w:val="0"/>
                <w:color w:val="000000"/>
                <w:sz w:val="16"/>
              </w:rPr>
              <w:t>kapalı</w:t>
            </w:r>
          </w:p>
        </w:tc>
        <w:tc>
          <w:tcPr>
            <w:tcW w:w="3975" w:type="dxa"/>
            <w:tcBorders>
              <w:top w:val="nil"/>
              <w:left w:val="nil"/>
              <w:bottom w:val="nil"/>
              <w:right w:val="nil"/>
            </w:tcBorders>
          </w:tcPr>
          <w:p>
            <w:pPr>
              <w:spacing w:before="20" w:after="20"/>
              <w:jc w:val="left"/>
            </w:pPr>
            <w:r>
              <w:rPr>
                <w:rFonts w:ascii="Cambria" w:hAnsi="Cambria" w:cs="Cambria" w:eastAsia="Cambria"/>
                <w:b w:val="0"/>
                <w:i w:val="0"/>
                <w:color w:val="000000"/>
                <w:sz w:val="16"/>
              </w:rPr>
              <w:t>çevrimdışı yardımcı olur, donanımda doğrulanmış hiçbir olayı yakalamaz</w:t>
            </w:r>
          </w:p>
        </w:tc>
      </w:tr>
      <w:tr>
        <w:tc>
          <w:tcPr>
            <w:tcW w:w="4471" w:type="dxa"/>
            <w:tcBorders>
              <w:top w:val="nil"/>
              <w:left w:val="nil"/>
              <w:bottom w:val="single" w:sz="8" w:space="0" w:color="000000"/>
              <w:right w:val="nil"/>
            </w:tcBorders>
          </w:tcPr>
          <w:p>
            <w:pPr>
              <w:spacing w:before="20" w:after="20"/>
              <w:jc w:val="left"/>
            </w:pPr>
            <w:r>
              <w:rPr>
                <w:rFonts w:ascii="Cambria" w:hAnsi="Cambria" w:cs="Cambria" w:eastAsia="Cambria"/>
                <w:b w:val="0"/>
                <w:i w:val="0"/>
                <w:color w:val="000000"/>
                <w:sz w:val="16"/>
              </w:rPr>
              <w:t>D4  Alarmdan önce iki ardışık karar</w:t>
            </w:r>
          </w:p>
        </w:tc>
        <w:tc>
          <w:tcPr>
            <w:tcW w:w="1703" w:type="dxa"/>
            <w:tcBorders>
              <w:top w:val="nil"/>
              <w:left w:val="nil"/>
              <w:bottom w:val="single" w:sz="8" w:space="0" w:color="000000"/>
              <w:right w:val="nil"/>
            </w:tcBorders>
          </w:tcPr>
          <w:p>
            <w:pPr>
              <w:spacing w:before="20" w:after="20"/>
              <w:jc w:val="left"/>
            </w:pPr>
            <w:r>
              <w:rPr>
                <w:rFonts w:ascii="Cambria" w:hAnsi="Cambria" w:cs="Cambria" w:eastAsia="Cambria"/>
                <w:b w:val="0"/>
                <w:i w:val="0"/>
                <w:color w:val="000000"/>
                <w:sz w:val="16"/>
              </w:rPr>
              <w:t>isteğe bağlı, açık</w:t>
            </w:r>
          </w:p>
        </w:tc>
        <w:tc>
          <w:tcPr>
            <w:tcW w:w="3975" w:type="dxa"/>
            <w:tcBorders>
              <w:top w:val="nil"/>
              <w:left w:val="nil"/>
              <w:bottom w:val="single" w:sz="8" w:space="0" w:color="000000"/>
              <w:right w:val="nil"/>
            </w:tcBorders>
          </w:tcPr>
          <w:p>
            <w:pPr>
              <w:spacing w:before="20" w:after="20"/>
              <w:jc w:val="left"/>
            </w:pPr>
            <w:r>
              <w:rPr>
                <w:rFonts w:ascii="Cambria" w:hAnsi="Cambria" w:cs="Cambria" w:eastAsia="Cambria"/>
                <w:b w:val="0"/>
                <w:i w:val="0"/>
                <w:color w:val="000000"/>
                <w:sz w:val="16"/>
              </w:rPr>
              <w:t>tek karardan doğan gürültü tetiklerini bastırır</w:t>
            </w:r>
          </w:p>
        </w:tc>
      </w:tr>
    </w:tbl>
    <w:p>
      <w:pPr>
        <w:spacing w:before="40" w:after="120"/>
        <w:jc w:val="both"/>
        <w:sectPr w:rsidR="006A6232" w:rsidRPr="006A6232" w:rsidSect="00327F76">
          <w:footerReference w:type="default" r:id="rId25"/>
          <w:type w:val="continuous"/>
          <w:pgSz w:w="11906" w:h="16838" w:code="9"/>
          <w:pgMar w:top="1701" w:right="851" w:bottom="1418" w:left="851" w:header="1134" w:footer="851" w:gutter="0"/>
          <w:cols w:space="708"/>
          <w:docGrid w:linePitch="360"/>
        </w:sectPr>
      </w:pPr>
      <w:r>
        <w:rPr>
          <w:rFonts w:ascii="Cambria" w:hAnsi="Cambria" w:cs="Cambria" w:eastAsia="Cambria"/>
          <w:b w:val="0"/>
          <w:i/>
          <w:color w:val="444444"/>
          <w:sz w:val="16"/>
        </w:rPr>
        <w:t>D3 ve D4 birer parametreyle kapatılabilir; bu, referans davranışı birebir geri getirir. D1 yayımlanmış min–maks yapısını korur ve yalnız büyüklüklerin kestirildiği kümeyi değiştirir.</w:t>
      </w:r>
    </w:p>
    <w:p>
      <w:pPr>
        <w:pStyle w:val="Paragraf"/>
        <w:spacing w:before="120" w:after="0"/>
        <w:jc w:val="both"/>
      </w:pPr>
      <w:r>
        <w:rPr>
          <w:rFonts w:ascii="Cambria" w:hAnsi="Cambria" w:cs="Cambria" w:eastAsia="Cambria"/>
          <w:b/>
          <w:i w:val="0"/>
          <w:color w:val="000000"/>
          <w:sz w:val="20"/>
        </w:rPr>
        <w:t>Çevrimdışı eşik taşınmamaktadır.</w:t>
      </w:r>
      <w:r>
        <w:rPr>
          <w:rFonts w:ascii="Cambria" w:hAnsi="Cambria" w:cs="Cambria" w:eastAsia="Cambria"/>
          <w:b w:val="0"/>
          <w:i w:val="0"/>
          <w:color w:val="000000"/>
          <w:sz w:val="20"/>
        </w:rPr>
        <w:t xml:space="preserve"> Bölüm 3.6'nın kuralıyla temiz doğrulama pencerelerinden türetilen birleşik eşik θ = 0,855 iken, hücrede temiz bir koşunun medyan birleşik skoru 0,97'dir: tüm kararların %58,2'si eşiği aşmıştır. Skorlar ölçek bakımından olağandışı değildir — Tablo 13'ün hücrede kalibre edilmiş yapılandırması altında aynı temiz çalışma, eşiğin 1,7 ilâ 35,3 katı altında kalmaktadır — dolayısıyla başarısızlık, modellerde değil eşiğin nereden geldiğinde açıkça yerini bulmaktadır.</w:t>
      </w:r>
    </w:p>
    <w:p>
      <w:pPr>
        <w:pStyle w:val="Paragraf"/>
        <w:spacing w:before="120" w:after="0"/>
        <w:jc w:val="both"/>
      </w:pPr>
      <w:r>
        <w:rPr>
          <w:rFonts w:ascii="Cambria" w:hAnsi="Cambria" w:cs="Cambria" w:eastAsia="Cambria"/>
          <w:b w:val="0"/>
          <w:i w:val="0"/>
          <w:color w:val="000000"/>
          <w:sz w:val="20"/>
        </w:rPr>
        <w:t>Sebep, modellerin olağan çalışma sırasında eğitim dağılımlarının çok dışında olmasıdır. Çevrimdışı doğrulama kümesinin ortalama yeniden yapılanma hatasına göre ölçüldüğünde, kalıntı modeli hücrede o değerin on bir katında, ham model ise seksen altı katında çalışmaktadır. Her modelin kendi P97 eşiğine göre ifade edildiğinde asimetri daha da keskindir: kalıntı modeli eşiğinin 0,93'ünde oturmakta, ki bu iyi kalibre demektir; ham model ise 7,28'inde. Sonuç, birleşimin kendisinin bozulmasıdır. w_ham = 0,05 iken ham model medyanda birleşik skorun %29'unu sağlamakta ve tepe noktalarında ona hâkim olmaktadır; çünkü normalleştirme sabiti hücre için yirmi beş kat küçüktür. Her iki ölçeğin hücrede yeniden kestirilmesi (Bölüm 3.11) bu payı ağırlığıyla uyumlu biçimde %8–15'e geri döndürmektedir.</w:t>
      </w:r>
    </w:p>
    <w:p>
      <w:pPr>
        <w:pStyle w:val="Paragraf"/>
        <w:spacing w:before="120" w:after="0"/>
        <w:jc w:val="both"/>
      </w:pPr>
      <w:r>
        <w:rPr>
          <w:rFonts w:ascii="Cambria" w:hAnsi="Cambria" w:cs="Cambria" w:eastAsia="Cambria"/>
          <w:b w:val="0"/>
          <w:i w:val="0"/>
          <w:color w:val="000000"/>
          <w:sz w:val="20"/>
        </w:rPr>
        <w:t>Bir düzeltme daha ölçümle zorunlu kılınmıştır. Referans formülün min–maks biçimi gerçek hücre verisine uygulandığında kalıntı genişliğini 30,8'e kilitlemektedir; çünkü kalibrasyon koşusu yük taşıyan bir evre içerir — birleşik skorun 85 saniyelik, içi neredeyse hiç kıpırdamayan bir platosu (medyan 14,20, p90 14,39, maksimum 14,5). Ters dinamikte yük modeli bulunmadığı için herhangi bir şey taşımak sürekli bir yanlılık üretmektedir ve bunun üzerine uydurulan bir min–maks ölçeği olağan olayları görünmez kılar. Onun yerine her modelin temiz skorlarının 97. persentili kullanılmaktadır.</w:t>
      </w:r>
    </w:p>
    <w:p>
      <w:pPr>
        <w:pStyle w:val="Paragraf"/>
        <w:spacing w:before="120" w:after="0"/>
        <w:jc w:val="both"/>
        <w:sectPr w:rsidR="006A6232" w:rsidRPr="006A6232" w:rsidSect="00327F76">
          <w:footerReference w:type="default" r:id="rId25"/>
          <w:type w:val="continuous"/>
          <w:pgSz w:w="11906" w:h="16838" w:code="9"/>
          <w:pgMar w:top="1701" w:right="851" w:bottom="1418" w:left="851" w:header="1134" w:footer="851" w:gutter="0"/>
          <w:cols w:num="2" w:space="709" w:equalWidth="1"/>
          <w:docGrid w:linePitch="360"/>
        </w:sectPr>
      </w:pPr>
      <w:r>
        <w:rPr>
          <w:rFonts w:ascii="Cambria" w:hAnsi="Cambria" w:cs="Cambria" w:eastAsia="Cambria"/>
          <w:b w:val="0"/>
          <w:i w:val="0"/>
          <w:color w:val="000000"/>
          <w:sz w:val="20"/>
        </w:rPr>
        <w:t>Hücrede kalibre edilmiş yapılandırmayla — kalıntı genişliği 25,92, ham genişlik 22,37, θ = 5,0, her iki görevi kapsayan 15.627 temiz karardan kestirilmiş — dedektör 14,3 dakikalık olağan çalışma boyunca hiç alarm üretmemiştir (Tablo 13).</w:t>
      </w:r>
    </w:p>
    <w:p>
      <w:pPr>
        <w:keepNext/>
        <w:spacing w:before="160" w:after="60"/>
        <w:jc w:val="left"/>
      </w:pPr>
      <w:r>
        <w:rPr>
          <w:rFonts w:ascii="Cambria" w:hAnsi="Cambria" w:cs="Cambria" w:eastAsia="Cambria"/>
          <w:b/>
          <w:i w:val="0"/>
          <w:color w:val="000000"/>
          <w:sz w:val="18"/>
        </w:rPr>
        <w:t>Tablo 13.</w:t>
      </w:r>
      <w:r>
        <w:rPr>
          <w:rFonts w:ascii="Cambria" w:hAnsi="Cambria" w:cs="Cambria" w:eastAsia="Cambria"/>
          <w:b w:val="0"/>
          <w:i w:val="0"/>
          <w:color w:val="000000"/>
          <w:sz w:val="18"/>
        </w:rPr>
        <w:t xml:space="preserve"> Hücrede Kalibre Edilmiş Yapılandırmada Temiz Çalışma.</w:t>
      </w:r>
    </w:p>
    <w:tbl>
      <w:tblPr>
        <w:jc w:val="center"/>
        <w:tblLook w:firstColumn="1" w:firstRow="1" w:lastColumn="0" w:lastRow="0" w:noHBand="0" w:noVBand="1" w:val="04A0"/>
        <w:tblW w:w="10149" w:type="dxa"/>
        <w:tblLayout w:type="fixed"/>
      </w:tblPr>
      <w:tblGrid>
        <w:gridCol w:w="2388"/>
        <w:gridCol w:w="1552"/>
        <w:gridCol w:w="1433"/>
        <w:gridCol w:w="1552"/>
        <w:gridCol w:w="1791"/>
        <w:gridCol w:w="1433"/>
      </w:tblGrid>
      <w:tr>
        <w:tc>
          <w:tcPr>
            <w:tcW w:w="2388"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Koşu</w:t>
            </w:r>
          </w:p>
        </w:tc>
        <w:tc>
          <w:tcPr>
            <w:tcW w:w="1552"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Süre</w:t>
            </w:r>
          </w:p>
        </w:tc>
        <w:tc>
          <w:tcPr>
            <w:tcW w:w="1433"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Medyan</w:t>
            </w:r>
          </w:p>
        </w:tc>
        <w:tc>
          <w:tcPr>
            <w:tcW w:w="1552"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Maksimum</w:t>
            </w:r>
          </w:p>
        </w:tc>
        <w:tc>
          <w:tcPr>
            <w:tcW w:w="1791"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θ'ya pay</w:t>
            </w:r>
          </w:p>
        </w:tc>
        <w:tc>
          <w:tcPr>
            <w:tcW w:w="1433"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Alarm</w:t>
            </w:r>
          </w:p>
        </w:tc>
      </w:tr>
      <w:tr>
        <w:tc>
          <w:tcPr>
            <w:tcW w:w="2388" w:type="dxa"/>
            <w:tcBorders>
              <w:top w:val="single" w:sz="4" w:space="0" w:color="000000"/>
              <w:left w:val="nil"/>
              <w:bottom w:val="nil"/>
              <w:right w:val="nil"/>
            </w:tcBorders>
          </w:tcPr>
          <w:p>
            <w:pPr>
              <w:spacing w:before="20" w:after="20"/>
              <w:jc w:val="left"/>
            </w:pPr>
            <w:r>
              <w:rPr>
                <w:rFonts w:ascii="Cambria" w:hAnsi="Cambria" w:cs="Cambria" w:eastAsia="Cambria"/>
                <w:b w:val="0"/>
                <w:i w:val="0"/>
                <w:color w:val="000000"/>
                <w:sz w:val="16"/>
              </w:rPr>
              <w:t>Muayene çevrimi</w:t>
            </w:r>
          </w:p>
        </w:tc>
        <w:tc>
          <w:tcPr>
            <w:tcW w:w="1552" w:type="dxa"/>
            <w:tcBorders>
              <w:top w:val="single" w:sz="4" w:space="0" w:color="000000"/>
              <w:left w:val="nil"/>
              <w:bottom w:val="nil"/>
              <w:right w:val="nil"/>
            </w:tcBorders>
          </w:tcPr>
          <w:p>
            <w:pPr>
              <w:spacing w:before="20" w:after="20"/>
              <w:jc w:val="right"/>
            </w:pPr>
            <w:r>
              <w:rPr>
                <w:rFonts w:ascii="Cambria" w:hAnsi="Cambria" w:cs="Cambria" w:eastAsia="Cambria"/>
                <w:b w:val="0"/>
                <w:i w:val="0"/>
                <w:color w:val="000000"/>
                <w:sz w:val="16"/>
              </w:rPr>
              <w:t>6,2 dk</w:t>
            </w:r>
          </w:p>
        </w:tc>
        <w:tc>
          <w:tcPr>
            <w:tcW w:w="1433" w:type="dxa"/>
            <w:tcBorders>
              <w:top w:val="single" w:sz="4" w:space="0" w:color="000000"/>
              <w:left w:val="nil"/>
              <w:bottom w:val="nil"/>
              <w:right w:val="nil"/>
            </w:tcBorders>
          </w:tcPr>
          <w:p>
            <w:pPr>
              <w:spacing w:before="20" w:after="20"/>
              <w:jc w:val="right"/>
            </w:pPr>
            <w:r>
              <w:rPr>
                <w:rFonts w:ascii="Cambria" w:hAnsi="Cambria" w:cs="Cambria" w:eastAsia="Cambria"/>
                <w:b w:val="0"/>
                <w:i w:val="0"/>
                <w:color w:val="000000"/>
                <w:sz w:val="16"/>
              </w:rPr>
              <w:t>0,055</w:t>
            </w:r>
          </w:p>
        </w:tc>
        <w:tc>
          <w:tcPr>
            <w:tcW w:w="1552" w:type="dxa"/>
            <w:tcBorders>
              <w:top w:val="single" w:sz="4" w:space="0" w:color="000000"/>
              <w:left w:val="nil"/>
              <w:bottom w:val="nil"/>
              <w:right w:val="nil"/>
            </w:tcBorders>
          </w:tcPr>
          <w:p>
            <w:pPr>
              <w:spacing w:before="20" w:after="20"/>
              <w:jc w:val="right"/>
            </w:pPr>
            <w:r>
              <w:rPr>
                <w:rFonts w:ascii="Cambria" w:hAnsi="Cambria" w:cs="Cambria" w:eastAsia="Cambria"/>
                <w:b w:val="0"/>
                <w:i w:val="0"/>
                <w:color w:val="000000"/>
                <w:sz w:val="16"/>
              </w:rPr>
              <w:t>1,28</w:t>
            </w:r>
          </w:p>
        </w:tc>
        <w:tc>
          <w:tcPr>
            <w:tcW w:w="1791" w:type="dxa"/>
            <w:tcBorders>
              <w:top w:val="single" w:sz="4" w:space="0" w:color="000000"/>
              <w:left w:val="nil"/>
              <w:bottom w:val="nil"/>
              <w:right w:val="nil"/>
            </w:tcBorders>
          </w:tcPr>
          <w:p>
            <w:pPr>
              <w:spacing w:before="20" w:after="20"/>
              <w:jc w:val="right"/>
            </w:pPr>
            <w:r>
              <w:rPr>
                <w:rFonts w:ascii="Cambria" w:hAnsi="Cambria" w:cs="Cambria" w:eastAsia="Cambria"/>
                <w:b w:val="0"/>
                <w:i w:val="0"/>
                <w:color w:val="000000"/>
                <w:sz w:val="16"/>
              </w:rPr>
              <w:t>3,9×</w:t>
            </w:r>
          </w:p>
        </w:tc>
        <w:tc>
          <w:tcPr>
            <w:tcW w:w="1433" w:type="dxa"/>
            <w:tcBorders>
              <w:top w:val="single" w:sz="4" w:space="0" w:color="000000"/>
              <w:left w:val="nil"/>
              <w:bottom w:val="nil"/>
              <w:right w:val="nil"/>
            </w:tcBorders>
          </w:tcPr>
          <w:p>
            <w:pPr>
              <w:spacing w:before="20" w:after="20"/>
              <w:jc w:val="right"/>
            </w:pPr>
            <w:r>
              <w:rPr>
                <w:rFonts w:ascii="Cambria" w:hAnsi="Cambria" w:cs="Cambria" w:eastAsia="Cambria"/>
                <w:b/>
                <w:i w:val="0"/>
                <w:color w:val="000000"/>
                <w:sz w:val="16"/>
              </w:rPr>
              <w:t>0</w:t>
            </w:r>
          </w:p>
        </w:tc>
      </w:tr>
      <w:tr>
        <w:tc>
          <w:tcPr>
            <w:tcW w:w="2388" w:type="dxa"/>
            <w:tcBorders>
              <w:top w:val="nil"/>
              <w:left w:val="nil"/>
              <w:bottom w:val="nil"/>
              <w:right w:val="nil"/>
            </w:tcBorders>
          </w:tcPr>
          <w:p>
            <w:pPr>
              <w:spacing w:before="20" w:after="20"/>
              <w:jc w:val="left"/>
            </w:pPr>
            <w:r>
              <w:rPr>
                <w:rFonts w:ascii="Cambria" w:hAnsi="Cambria" w:cs="Cambria" w:eastAsia="Cambria"/>
                <w:b w:val="0"/>
                <w:i w:val="0"/>
                <w:color w:val="000000"/>
                <w:sz w:val="16"/>
              </w:rPr>
              <w:t>Provoke edilen el teması</w:t>
            </w:r>
          </w:p>
        </w:tc>
        <w:tc>
          <w:tcPr>
            <w:tcW w:w="1552" w:type="dxa"/>
            <w:tcBorders>
              <w:top w:val="nil"/>
              <w:left w:val="nil"/>
              <w:bottom w:val="nil"/>
              <w:right w:val="nil"/>
            </w:tcBorders>
          </w:tcPr>
          <w:p>
            <w:pPr>
              <w:spacing w:before="20" w:after="20"/>
              <w:jc w:val="right"/>
            </w:pPr>
            <w:r>
              <w:rPr>
                <w:rFonts w:ascii="Cambria" w:hAnsi="Cambria" w:cs="Cambria" w:eastAsia="Cambria"/>
                <w:b w:val="0"/>
                <w:i w:val="0"/>
                <w:color w:val="000000"/>
                <w:sz w:val="16"/>
              </w:rPr>
              <w:t>1,3 dk</w:t>
            </w:r>
          </w:p>
        </w:tc>
        <w:tc>
          <w:tcPr>
            <w:tcW w:w="1433" w:type="dxa"/>
            <w:tcBorders>
              <w:top w:val="nil"/>
              <w:left w:val="nil"/>
              <w:bottom w:val="nil"/>
              <w:right w:val="nil"/>
            </w:tcBorders>
          </w:tcPr>
          <w:p>
            <w:pPr>
              <w:spacing w:before="20" w:after="20"/>
              <w:jc w:val="right"/>
            </w:pPr>
            <w:r>
              <w:rPr>
                <w:rFonts w:ascii="Cambria" w:hAnsi="Cambria" w:cs="Cambria" w:eastAsia="Cambria"/>
                <w:b w:val="0"/>
                <w:i w:val="0"/>
                <w:color w:val="000000"/>
                <w:sz w:val="16"/>
              </w:rPr>
              <w:t>0,023</w:t>
            </w:r>
          </w:p>
        </w:tc>
        <w:tc>
          <w:tcPr>
            <w:tcW w:w="1552" w:type="dxa"/>
            <w:tcBorders>
              <w:top w:val="nil"/>
              <w:left w:val="nil"/>
              <w:bottom w:val="nil"/>
              <w:right w:val="nil"/>
            </w:tcBorders>
          </w:tcPr>
          <w:p>
            <w:pPr>
              <w:spacing w:before="20" w:after="20"/>
              <w:jc w:val="right"/>
            </w:pPr>
            <w:r>
              <w:rPr>
                <w:rFonts w:ascii="Cambria" w:hAnsi="Cambria" w:cs="Cambria" w:eastAsia="Cambria"/>
                <w:b w:val="0"/>
                <w:i w:val="0"/>
                <w:color w:val="000000"/>
                <w:sz w:val="16"/>
              </w:rPr>
              <w:t>0,14</w:t>
            </w:r>
          </w:p>
        </w:tc>
        <w:tc>
          <w:tcPr>
            <w:tcW w:w="1791" w:type="dxa"/>
            <w:tcBorders>
              <w:top w:val="nil"/>
              <w:left w:val="nil"/>
              <w:bottom w:val="nil"/>
              <w:right w:val="nil"/>
            </w:tcBorders>
          </w:tcPr>
          <w:p>
            <w:pPr>
              <w:spacing w:before="20" w:after="20"/>
              <w:jc w:val="right"/>
            </w:pPr>
            <w:r>
              <w:rPr>
                <w:rFonts w:ascii="Cambria" w:hAnsi="Cambria" w:cs="Cambria" w:eastAsia="Cambria"/>
                <w:b w:val="0"/>
                <w:i w:val="0"/>
                <w:color w:val="000000"/>
                <w:sz w:val="16"/>
              </w:rPr>
              <w:t>35,3×</w:t>
            </w:r>
          </w:p>
        </w:tc>
        <w:tc>
          <w:tcPr>
            <w:tcW w:w="1433" w:type="dxa"/>
            <w:tcBorders>
              <w:top w:val="nil"/>
              <w:left w:val="nil"/>
              <w:bottom w:val="nil"/>
              <w:right w:val="nil"/>
            </w:tcBorders>
          </w:tcPr>
          <w:p>
            <w:pPr>
              <w:spacing w:before="20" w:after="20"/>
              <w:jc w:val="right"/>
            </w:pPr>
            <w:r>
              <w:rPr>
                <w:rFonts w:ascii="Cambria" w:hAnsi="Cambria" w:cs="Cambria" w:eastAsia="Cambria"/>
                <w:b w:val="0"/>
                <w:i w:val="0"/>
                <w:color w:val="000000"/>
                <w:sz w:val="16"/>
              </w:rPr>
              <w:t>0</w:t>
            </w:r>
          </w:p>
        </w:tc>
      </w:tr>
      <w:tr>
        <w:tc>
          <w:tcPr>
            <w:tcW w:w="2388" w:type="dxa"/>
            <w:tcBorders>
              <w:top w:val="nil"/>
              <w:left w:val="nil"/>
              <w:bottom w:val="single" w:sz="8" w:space="0" w:color="000000"/>
              <w:right w:val="nil"/>
            </w:tcBorders>
          </w:tcPr>
          <w:p>
            <w:pPr>
              <w:spacing w:before="20" w:after="20"/>
              <w:jc w:val="left"/>
            </w:pPr>
            <w:r>
              <w:rPr>
                <w:rFonts w:ascii="Cambria" w:hAnsi="Cambria" w:cs="Cambria" w:eastAsia="Cambria"/>
                <w:b w:val="0"/>
                <w:i w:val="0"/>
                <w:color w:val="000000"/>
                <w:sz w:val="16"/>
              </w:rPr>
              <w:t>Pick and place</w:t>
            </w:r>
          </w:p>
        </w:tc>
        <w:tc>
          <w:tcPr>
            <w:tcW w:w="1552" w:type="dxa"/>
            <w:tcBorders>
              <w:top w:val="nil"/>
              <w:left w:val="nil"/>
              <w:bottom w:val="single" w:sz="8" w:space="0" w:color="000000"/>
              <w:right w:val="nil"/>
            </w:tcBorders>
          </w:tcPr>
          <w:p>
            <w:pPr>
              <w:spacing w:before="20" w:after="20"/>
              <w:jc w:val="right"/>
            </w:pPr>
            <w:r>
              <w:rPr>
                <w:rFonts w:ascii="Cambria" w:hAnsi="Cambria" w:cs="Cambria" w:eastAsia="Cambria"/>
                <w:b w:val="0"/>
                <w:i w:val="0"/>
                <w:color w:val="000000"/>
                <w:sz w:val="16"/>
              </w:rPr>
              <w:t>6,9 dk</w:t>
            </w:r>
          </w:p>
        </w:tc>
        <w:tc>
          <w:tcPr>
            <w:tcW w:w="1433" w:type="dxa"/>
            <w:tcBorders>
              <w:top w:val="nil"/>
              <w:left w:val="nil"/>
              <w:bottom w:val="single" w:sz="8" w:space="0" w:color="000000"/>
              <w:right w:val="nil"/>
            </w:tcBorders>
          </w:tcPr>
          <w:p>
            <w:pPr>
              <w:spacing w:before="20" w:after="20"/>
              <w:jc w:val="right"/>
            </w:pPr>
            <w:r>
              <w:rPr>
                <w:rFonts w:ascii="Cambria" w:hAnsi="Cambria" w:cs="Cambria" w:eastAsia="Cambria"/>
                <w:b w:val="0"/>
                <w:i w:val="0"/>
                <w:color w:val="000000"/>
                <w:sz w:val="16"/>
              </w:rPr>
              <w:t>0,075</w:t>
            </w:r>
          </w:p>
        </w:tc>
        <w:tc>
          <w:tcPr>
            <w:tcW w:w="1552" w:type="dxa"/>
            <w:tcBorders>
              <w:top w:val="nil"/>
              <w:left w:val="nil"/>
              <w:bottom w:val="single" w:sz="8" w:space="0" w:color="000000"/>
              <w:right w:val="nil"/>
            </w:tcBorders>
          </w:tcPr>
          <w:p>
            <w:pPr>
              <w:spacing w:before="20" w:after="20"/>
              <w:jc w:val="right"/>
            </w:pPr>
            <w:r>
              <w:rPr>
                <w:rFonts w:ascii="Cambria" w:hAnsi="Cambria" w:cs="Cambria" w:eastAsia="Cambria"/>
                <w:b w:val="0"/>
                <w:i w:val="0"/>
                <w:color w:val="000000"/>
                <w:sz w:val="16"/>
              </w:rPr>
              <w:t>2,92</w:t>
            </w:r>
          </w:p>
        </w:tc>
        <w:tc>
          <w:tcPr>
            <w:tcW w:w="1791" w:type="dxa"/>
            <w:tcBorders>
              <w:top w:val="nil"/>
              <w:left w:val="nil"/>
              <w:bottom w:val="single" w:sz="8" w:space="0" w:color="000000"/>
              <w:right w:val="nil"/>
            </w:tcBorders>
          </w:tcPr>
          <w:p>
            <w:pPr>
              <w:spacing w:before="20" w:after="20"/>
              <w:jc w:val="right"/>
            </w:pPr>
            <w:r>
              <w:rPr>
                <w:rFonts w:ascii="Cambria" w:hAnsi="Cambria" w:cs="Cambria" w:eastAsia="Cambria"/>
                <w:b w:val="0"/>
                <w:i w:val="0"/>
                <w:color w:val="000000"/>
                <w:sz w:val="16"/>
              </w:rPr>
              <w:t>1,7×</w:t>
            </w:r>
          </w:p>
        </w:tc>
        <w:tc>
          <w:tcPr>
            <w:tcW w:w="1433" w:type="dxa"/>
            <w:tcBorders>
              <w:top w:val="nil"/>
              <w:left w:val="nil"/>
              <w:bottom w:val="single" w:sz="8" w:space="0" w:color="000000"/>
              <w:right w:val="nil"/>
            </w:tcBorders>
          </w:tcPr>
          <w:p>
            <w:pPr>
              <w:spacing w:before="20" w:after="20"/>
              <w:jc w:val="right"/>
            </w:pPr>
            <w:r>
              <w:rPr>
                <w:rFonts w:ascii="Cambria" w:hAnsi="Cambria" w:cs="Cambria" w:eastAsia="Cambria"/>
                <w:b/>
                <w:i w:val="0"/>
                <w:color w:val="000000"/>
                <w:sz w:val="16"/>
              </w:rPr>
              <w:t>0</w:t>
            </w:r>
          </w:p>
        </w:tc>
      </w:tr>
    </w:tbl>
    <w:p>
      <w:pPr>
        <w:spacing w:before="40" w:after="120"/>
        <w:jc w:val="both"/>
        <w:sectPr w:rsidR="006A6232" w:rsidRPr="006A6232" w:rsidSect="00327F76">
          <w:footerReference w:type="default" r:id="rId25"/>
          <w:type w:val="continuous"/>
          <w:pgSz w:w="11906" w:h="16838" w:code="9"/>
          <w:pgMar w:top="1701" w:right="851" w:bottom="1418" w:left="851" w:header="1134" w:footer="851" w:gutter="0"/>
          <w:cols w:space="708"/>
          <w:docGrid w:linePitch="360"/>
        </w:sectPr>
      </w:pPr>
      <w:r>
        <w:rPr>
          <w:rFonts w:ascii="Cambria" w:hAnsi="Cambria" w:cs="Cambria" w:eastAsia="Cambria"/>
          <w:b w:val="0"/>
          <w:i/>
          <w:color w:val="444444"/>
          <w:sz w:val="16"/>
        </w:rPr>
        <w:t>Pay, θ'nın koşunun tepe değerine bölümüdür. İkinci satır, dedektörün kaydetmediği provoke edilmiş bir anomalidir; aşağıda tartışılmakta ve sistemin çalışma sınırını oluşturmaktadır.</w:t>
      </w:r>
    </w:p>
    <w:p>
      <w:pPr>
        <w:pStyle w:val="Paragraf"/>
        <w:spacing w:before="120" w:after="0"/>
        <w:jc w:val="both"/>
        <w:sectPr w:rsidR="006A6232" w:rsidRPr="006A6232" w:rsidSect="00327F76">
          <w:footerReference w:type="default" r:id="rId25"/>
          <w:type w:val="continuous"/>
          <w:pgSz w:w="11906" w:h="16838" w:code="9"/>
          <w:pgMar w:top="1701" w:right="851" w:bottom="1418" w:left="851" w:header="1134" w:footer="851" w:gutter="0"/>
          <w:cols w:num="2" w:space="709" w:equalWidth="1"/>
          <w:docGrid w:linePitch="360"/>
        </w:sectPr>
      </w:pPr>
      <w:r>
        <w:rPr>
          <w:rFonts w:ascii="Cambria" w:hAnsi="Cambria" w:cs="Cambria" w:eastAsia="Cambria"/>
          <w:b/>
          <w:i w:val="0"/>
          <w:color w:val="000000"/>
          <w:sz w:val="20"/>
        </w:rPr>
        <w:t>Çarpışmalar tespit edilmektedir.</w:t>
      </w:r>
      <w:r>
        <w:rPr>
          <w:rFonts w:ascii="Cambria" w:hAnsi="Cambria" w:cs="Cambria" w:eastAsia="Cambria"/>
          <w:b w:val="0"/>
          <w:i w:val="0"/>
          <w:color w:val="000000"/>
          <w:sz w:val="20"/>
        </w:rPr>
        <w:t xml:space="preserve"> Toplam 10,0 dakikalık üç koşuluk bir oturumda vakum tutucuya karşı iki çarpışma provoke edilmiştir. Üç alarm bloğu oluşmuş; operatör arayüz üzerinden üçünü de gerçek olarak etiketlemiş ve etiketsiz hiçbir blok meydana gelmemiştir. Tablo 14 bunları listelemekte, Şekil 5 ise en güçlüsünün hemen ardındaki operatör arayüzünü göstermektedir.</w:t>
      </w:r>
    </w:p>
    <w:p>
      <w:pPr>
        <w:keepNext/>
        <w:spacing w:before="160" w:after="60"/>
        <w:jc w:val="left"/>
      </w:pPr>
      <w:r>
        <w:rPr>
          <w:rFonts w:ascii="Cambria" w:hAnsi="Cambria" w:cs="Cambria" w:eastAsia="Cambria"/>
          <w:b/>
          <w:i w:val="0"/>
          <w:color w:val="000000"/>
          <w:sz w:val="18"/>
        </w:rPr>
        <w:t>Tablo 14.</w:t>
      </w:r>
      <w:r>
        <w:rPr>
          <w:rFonts w:ascii="Cambria" w:hAnsi="Cambria" w:cs="Cambria" w:eastAsia="Cambria"/>
          <w:b w:val="0"/>
          <w:i w:val="0"/>
          <w:color w:val="000000"/>
          <w:sz w:val="18"/>
        </w:rPr>
        <w:t xml:space="preserve"> Fiziksel Hücrede Provoke Edilen Çarpışmalar, Tümü Operatörce Doğrulanmış.</w:t>
      </w:r>
    </w:p>
    <w:tbl>
      <w:tblPr>
        <w:jc w:val="center"/>
        <w:tblLook w:firstColumn="1" w:firstRow="1" w:lastColumn="0" w:lastRow="0" w:noHBand="0" w:noVBand="1" w:val="04A0"/>
        <w:tblW w:w="10150" w:type="dxa"/>
        <w:tblLayout w:type="fixed"/>
      </w:tblPr>
      <w:tblGrid>
        <w:gridCol w:w="794"/>
        <w:gridCol w:w="1134"/>
        <w:gridCol w:w="1134"/>
        <w:gridCol w:w="1021"/>
        <w:gridCol w:w="964"/>
        <w:gridCol w:w="2495"/>
        <w:gridCol w:w="2608"/>
      </w:tblGrid>
      <w:tr>
        <w:tc>
          <w:tcPr>
            <w:tcW w:w="794"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Olay</w:t>
            </w:r>
          </w:p>
        </w:tc>
        <w:tc>
          <w:tcPr>
            <w:tcW w:w="1134"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Süre</w:t>
            </w:r>
          </w:p>
        </w:tc>
        <w:tc>
          <w:tcPr>
            <w:tcW w:w="1134"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Tepe</w:t>
            </w:r>
          </w:p>
        </w:tc>
        <w:tc>
          <w:tcPr>
            <w:tcW w:w="1021"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Giriş</w:t>
            </w:r>
          </w:p>
        </w:tc>
        <w:tc>
          <w:tcPr>
            <w:tcW w:w="964"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Tetikleyen</w:t>
            </w:r>
          </w:p>
        </w:tc>
        <w:tc>
          <w:tcPr>
            <w:tcW w:w="2495"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Kalıntı</w:t>
            </w:r>
          </w:p>
        </w:tc>
        <w:tc>
          <w:tcPr>
            <w:tcW w:w="2608"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Ham</w:t>
            </w:r>
          </w:p>
        </w:tc>
      </w:tr>
      <w:tr>
        <w:tc>
          <w:tcPr>
            <w:tcW w:w="794" w:type="dxa"/>
            <w:tcBorders>
              <w:top w:val="single" w:sz="4" w:space="0" w:color="000000"/>
              <w:left w:val="nil"/>
              <w:bottom w:val="nil"/>
              <w:right w:val="nil"/>
            </w:tcBorders>
          </w:tcPr>
          <w:p>
            <w:pPr>
              <w:spacing w:before="20" w:after="20"/>
              <w:jc w:val="left"/>
            </w:pPr>
            <w:r>
              <w:rPr>
                <w:rFonts w:ascii="Cambria" w:hAnsi="Cambria" w:cs="Cambria" w:eastAsia="Cambria"/>
                <w:b w:val="0"/>
                <w:i w:val="0"/>
                <w:color w:val="000000"/>
                <w:sz w:val="16"/>
              </w:rPr>
              <w:t>1</w:t>
            </w:r>
          </w:p>
        </w:tc>
        <w:tc>
          <w:tcPr>
            <w:tcW w:w="1134" w:type="dxa"/>
            <w:tcBorders>
              <w:top w:val="single" w:sz="4" w:space="0" w:color="000000"/>
              <w:left w:val="nil"/>
              <w:bottom w:val="nil"/>
              <w:right w:val="nil"/>
            </w:tcBorders>
          </w:tcPr>
          <w:p>
            <w:pPr>
              <w:spacing w:before="20" w:after="20"/>
              <w:jc w:val="right"/>
            </w:pPr>
            <w:r>
              <w:rPr>
                <w:rFonts w:ascii="Cambria" w:hAnsi="Cambria" w:cs="Cambria" w:eastAsia="Cambria"/>
                <w:b w:val="0"/>
                <w:i w:val="0"/>
                <w:color w:val="000000"/>
                <w:sz w:val="16"/>
              </w:rPr>
              <w:t>3,65 s</w:t>
            </w:r>
          </w:p>
        </w:tc>
        <w:tc>
          <w:tcPr>
            <w:tcW w:w="1134" w:type="dxa"/>
            <w:tcBorders>
              <w:top w:val="single" w:sz="4" w:space="0" w:color="000000"/>
              <w:left w:val="nil"/>
              <w:bottom w:val="nil"/>
              <w:right w:val="nil"/>
            </w:tcBorders>
          </w:tcPr>
          <w:p>
            <w:pPr>
              <w:spacing w:before="20" w:after="20"/>
              <w:jc w:val="right"/>
            </w:pPr>
            <w:r>
              <w:rPr>
                <w:rFonts w:ascii="Cambria" w:hAnsi="Cambria" w:cs="Cambria" w:eastAsia="Cambria"/>
                <w:b/>
                <w:i w:val="0"/>
                <w:color w:val="000000"/>
                <w:sz w:val="16"/>
              </w:rPr>
              <w:t>11,30</w:t>
            </w:r>
          </w:p>
        </w:tc>
        <w:tc>
          <w:tcPr>
            <w:tcW w:w="1021" w:type="dxa"/>
            <w:tcBorders>
              <w:top w:val="single" w:sz="4" w:space="0" w:color="000000"/>
              <w:left w:val="nil"/>
              <w:bottom w:val="nil"/>
              <w:right w:val="nil"/>
            </w:tcBorders>
          </w:tcPr>
          <w:p>
            <w:pPr>
              <w:spacing w:before="20" w:after="20"/>
              <w:jc w:val="right"/>
            </w:pPr>
            <w:r>
              <w:rPr>
                <w:rFonts w:ascii="Cambria" w:hAnsi="Cambria" w:cs="Cambria" w:eastAsia="Cambria"/>
                <w:b w:val="0"/>
                <w:i w:val="0"/>
                <w:color w:val="000000"/>
                <w:sz w:val="16"/>
              </w:rPr>
              <w:t>6,63</w:t>
            </w:r>
          </w:p>
        </w:tc>
        <w:tc>
          <w:tcPr>
            <w:tcW w:w="964" w:type="dxa"/>
            <w:tcBorders>
              <w:top w:val="single" w:sz="4" w:space="0" w:color="000000"/>
              <w:left w:val="nil"/>
              <w:bottom w:val="nil"/>
              <w:right w:val="nil"/>
            </w:tcBorders>
          </w:tcPr>
          <w:p>
            <w:pPr>
              <w:spacing w:before="20" w:after="20"/>
              <w:jc w:val="left"/>
            </w:pPr>
            <w:r>
              <w:rPr>
                <w:rFonts w:ascii="Cambria" w:hAnsi="Cambria" w:cs="Cambria" w:eastAsia="Cambria"/>
                <w:b w:val="0"/>
                <w:i w:val="0"/>
                <w:color w:val="000000"/>
                <w:sz w:val="16"/>
              </w:rPr>
              <w:t>ikisi</w:t>
            </w:r>
          </w:p>
        </w:tc>
        <w:tc>
          <w:tcPr>
            <w:tcW w:w="2495" w:type="dxa"/>
            <w:tcBorders>
              <w:top w:val="single" w:sz="4" w:space="0" w:color="000000"/>
              <w:left w:val="nil"/>
              <w:bottom w:val="nil"/>
              <w:right w:val="nil"/>
            </w:tcBorders>
          </w:tcPr>
          <w:p>
            <w:pPr>
              <w:spacing w:before="20" w:after="20"/>
              <w:jc w:val="right"/>
            </w:pPr>
            <w:r>
              <w:rPr>
                <w:rFonts w:ascii="Cambria" w:hAnsi="Cambria" w:cs="Cambria" w:eastAsia="Cambria"/>
                <w:b w:val="0"/>
                <w:i w:val="0"/>
                <w:color w:val="000000"/>
                <w:sz w:val="16"/>
              </w:rPr>
              <w:t>170,1  (124×θ)</w:t>
            </w:r>
          </w:p>
        </w:tc>
        <w:tc>
          <w:tcPr>
            <w:tcW w:w="2608" w:type="dxa"/>
            <w:tcBorders>
              <w:top w:val="single" w:sz="4" w:space="0" w:color="000000"/>
              <w:left w:val="nil"/>
              <w:bottom w:val="nil"/>
              <w:right w:val="nil"/>
            </w:tcBorders>
          </w:tcPr>
          <w:p>
            <w:pPr>
              <w:spacing w:before="20" w:after="20"/>
              <w:jc w:val="right"/>
            </w:pPr>
            <w:r>
              <w:rPr>
                <w:rFonts w:ascii="Cambria" w:hAnsi="Cambria" w:cs="Cambria" w:eastAsia="Cambria"/>
                <w:b w:val="0"/>
                <w:i w:val="0"/>
                <w:color w:val="000000"/>
                <w:sz w:val="16"/>
              </w:rPr>
              <w:t>175,9  (447×θ)</w:t>
            </w:r>
          </w:p>
        </w:tc>
      </w:tr>
      <w:tr>
        <w:tc>
          <w:tcPr>
            <w:tcW w:w="794" w:type="dxa"/>
            <w:tcBorders>
              <w:top w:val="nil"/>
              <w:left w:val="nil"/>
              <w:bottom w:val="nil"/>
              <w:right w:val="nil"/>
            </w:tcBorders>
          </w:tcPr>
          <w:p>
            <w:pPr>
              <w:spacing w:before="20" w:after="20"/>
              <w:jc w:val="left"/>
            </w:pPr>
            <w:r>
              <w:rPr>
                <w:rFonts w:ascii="Cambria" w:hAnsi="Cambria" w:cs="Cambria" w:eastAsia="Cambria"/>
                <w:b w:val="0"/>
                <w:i w:val="0"/>
                <w:color w:val="000000"/>
                <w:sz w:val="16"/>
              </w:rPr>
              <w:t>2</w:t>
            </w:r>
          </w:p>
        </w:tc>
        <w:tc>
          <w:tcPr>
            <w:tcW w:w="1134" w:type="dxa"/>
            <w:tcBorders>
              <w:top w:val="nil"/>
              <w:left w:val="nil"/>
              <w:bottom w:val="nil"/>
              <w:right w:val="nil"/>
            </w:tcBorders>
          </w:tcPr>
          <w:p>
            <w:pPr>
              <w:spacing w:before="20" w:after="20"/>
              <w:jc w:val="right"/>
            </w:pPr>
            <w:r>
              <w:rPr>
                <w:rFonts w:ascii="Cambria" w:hAnsi="Cambria" w:cs="Cambria" w:eastAsia="Cambria"/>
                <w:b w:val="0"/>
                <w:i w:val="0"/>
                <w:color w:val="000000"/>
                <w:sz w:val="16"/>
              </w:rPr>
              <w:t>0,25 s</w:t>
            </w:r>
          </w:p>
        </w:tc>
        <w:tc>
          <w:tcPr>
            <w:tcW w:w="1134" w:type="dxa"/>
            <w:tcBorders>
              <w:top w:val="nil"/>
              <w:left w:val="nil"/>
              <w:bottom w:val="nil"/>
              <w:right w:val="nil"/>
            </w:tcBorders>
          </w:tcPr>
          <w:p>
            <w:pPr>
              <w:spacing w:before="20" w:after="20"/>
              <w:jc w:val="right"/>
            </w:pPr>
            <w:r>
              <w:rPr>
                <w:rFonts w:ascii="Cambria" w:hAnsi="Cambria" w:cs="Cambria" w:eastAsia="Cambria"/>
                <w:b/>
                <w:i w:val="0"/>
                <w:color w:val="000000"/>
                <w:sz w:val="16"/>
              </w:rPr>
              <w:t>16,13</w:t>
            </w:r>
          </w:p>
        </w:tc>
        <w:tc>
          <w:tcPr>
            <w:tcW w:w="1021" w:type="dxa"/>
            <w:tcBorders>
              <w:top w:val="nil"/>
              <w:left w:val="nil"/>
              <w:bottom w:val="nil"/>
              <w:right w:val="nil"/>
            </w:tcBorders>
          </w:tcPr>
          <w:p>
            <w:pPr>
              <w:spacing w:before="20" w:after="20"/>
              <w:jc w:val="right"/>
            </w:pPr>
            <w:r>
              <w:rPr>
                <w:rFonts w:ascii="Cambria" w:hAnsi="Cambria" w:cs="Cambria" w:eastAsia="Cambria"/>
                <w:b w:val="0"/>
                <w:i w:val="0"/>
                <w:color w:val="000000"/>
                <w:sz w:val="16"/>
              </w:rPr>
              <w:t>14,60</w:t>
            </w:r>
          </w:p>
        </w:tc>
        <w:tc>
          <w:tcPr>
            <w:tcW w:w="964" w:type="dxa"/>
            <w:tcBorders>
              <w:top w:val="nil"/>
              <w:left w:val="nil"/>
              <w:bottom w:val="nil"/>
              <w:right w:val="nil"/>
            </w:tcBorders>
          </w:tcPr>
          <w:p>
            <w:pPr>
              <w:spacing w:before="20" w:after="20"/>
              <w:jc w:val="left"/>
            </w:pPr>
            <w:r>
              <w:rPr>
                <w:rFonts w:ascii="Cambria" w:hAnsi="Cambria" w:cs="Cambria" w:eastAsia="Cambria"/>
                <w:b w:val="0"/>
                <w:i w:val="0"/>
                <w:color w:val="000000"/>
                <w:sz w:val="16"/>
              </w:rPr>
              <w:t>ikisi</w:t>
            </w:r>
          </w:p>
        </w:tc>
        <w:tc>
          <w:tcPr>
            <w:tcW w:w="2495" w:type="dxa"/>
            <w:tcBorders>
              <w:top w:val="nil"/>
              <w:left w:val="nil"/>
              <w:bottom w:val="nil"/>
              <w:right w:val="nil"/>
            </w:tcBorders>
          </w:tcPr>
          <w:p>
            <w:pPr>
              <w:spacing w:before="20" w:after="20"/>
              <w:jc w:val="right"/>
            </w:pPr>
            <w:r>
              <w:rPr>
                <w:rFonts w:ascii="Cambria" w:hAnsi="Cambria" w:cs="Cambria" w:eastAsia="Cambria"/>
                <w:b w:val="0"/>
                <w:i w:val="0"/>
                <w:color w:val="000000"/>
                <w:sz w:val="16"/>
              </w:rPr>
              <w:t>369,8  (270×θ)</w:t>
            </w:r>
          </w:p>
        </w:tc>
        <w:tc>
          <w:tcPr>
            <w:tcW w:w="2608" w:type="dxa"/>
            <w:tcBorders>
              <w:top w:val="nil"/>
              <w:left w:val="nil"/>
              <w:bottom w:val="nil"/>
              <w:right w:val="nil"/>
            </w:tcBorders>
          </w:tcPr>
          <w:p>
            <w:pPr>
              <w:spacing w:before="20" w:after="20"/>
              <w:jc w:val="right"/>
            </w:pPr>
            <w:r>
              <w:rPr>
                <w:rFonts w:ascii="Cambria" w:hAnsi="Cambria" w:cs="Cambria" w:eastAsia="Cambria"/>
                <w:b w:val="0"/>
                <w:i w:val="0"/>
                <w:color w:val="000000"/>
                <w:sz w:val="16"/>
              </w:rPr>
              <w:t>466,5  (1186×θ)</w:t>
            </w:r>
          </w:p>
        </w:tc>
      </w:tr>
      <w:tr>
        <w:tc>
          <w:tcPr>
            <w:tcW w:w="794" w:type="dxa"/>
            <w:tcBorders>
              <w:top w:val="nil"/>
              <w:left w:val="nil"/>
              <w:bottom w:val="single" w:sz="8" w:space="0" w:color="000000"/>
              <w:right w:val="nil"/>
            </w:tcBorders>
          </w:tcPr>
          <w:p>
            <w:pPr>
              <w:spacing w:before="20" w:after="20"/>
              <w:jc w:val="left"/>
            </w:pPr>
            <w:r>
              <w:rPr>
                <w:rFonts w:ascii="Cambria" w:hAnsi="Cambria" w:cs="Cambria" w:eastAsia="Cambria"/>
                <w:b w:val="0"/>
                <w:i w:val="0"/>
                <w:color w:val="000000"/>
                <w:sz w:val="16"/>
              </w:rPr>
              <w:t>3</w:t>
            </w:r>
          </w:p>
        </w:tc>
        <w:tc>
          <w:tcPr>
            <w:tcW w:w="1134" w:type="dxa"/>
            <w:tcBorders>
              <w:top w:val="nil"/>
              <w:left w:val="nil"/>
              <w:bottom w:val="single" w:sz="8" w:space="0" w:color="000000"/>
              <w:right w:val="nil"/>
            </w:tcBorders>
          </w:tcPr>
          <w:p>
            <w:pPr>
              <w:spacing w:before="20" w:after="20"/>
              <w:jc w:val="right"/>
            </w:pPr>
            <w:r>
              <w:rPr>
                <w:rFonts w:ascii="Cambria" w:hAnsi="Cambria" w:cs="Cambria" w:eastAsia="Cambria"/>
                <w:b w:val="0"/>
                <w:i w:val="0"/>
                <w:color w:val="000000"/>
                <w:sz w:val="16"/>
              </w:rPr>
              <w:t>44,95 s</w:t>
            </w:r>
          </w:p>
        </w:tc>
        <w:tc>
          <w:tcPr>
            <w:tcW w:w="1134" w:type="dxa"/>
            <w:tcBorders>
              <w:top w:val="nil"/>
              <w:left w:val="nil"/>
              <w:bottom w:val="single" w:sz="8" w:space="0" w:color="000000"/>
              <w:right w:val="nil"/>
            </w:tcBorders>
          </w:tcPr>
          <w:p>
            <w:pPr>
              <w:spacing w:before="20" w:after="20"/>
              <w:jc w:val="right"/>
            </w:pPr>
            <w:r>
              <w:rPr>
                <w:rFonts w:ascii="Cambria" w:hAnsi="Cambria" w:cs="Cambria" w:eastAsia="Cambria"/>
                <w:b/>
                <w:i w:val="0"/>
                <w:color w:val="000000"/>
                <w:sz w:val="16"/>
              </w:rPr>
              <w:t>25,04</w:t>
            </w:r>
          </w:p>
        </w:tc>
        <w:tc>
          <w:tcPr>
            <w:tcW w:w="1021" w:type="dxa"/>
            <w:tcBorders>
              <w:top w:val="nil"/>
              <w:left w:val="nil"/>
              <w:bottom w:val="single" w:sz="8" w:space="0" w:color="000000"/>
              <w:right w:val="nil"/>
            </w:tcBorders>
          </w:tcPr>
          <w:p>
            <w:pPr>
              <w:spacing w:before="20" w:after="20"/>
              <w:jc w:val="right"/>
            </w:pPr>
            <w:r>
              <w:rPr>
                <w:rFonts w:ascii="Cambria" w:hAnsi="Cambria" w:cs="Cambria" w:eastAsia="Cambria"/>
                <w:b w:val="0"/>
                <w:i w:val="0"/>
                <w:color w:val="000000"/>
                <w:sz w:val="16"/>
              </w:rPr>
              <w:t>13,75</w:t>
            </w:r>
          </w:p>
        </w:tc>
        <w:tc>
          <w:tcPr>
            <w:tcW w:w="964" w:type="dxa"/>
            <w:tcBorders>
              <w:top w:val="nil"/>
              <w:left w:val="nil"/>
              <w:bottom w:val="single" w:sz="8" w:space="0" w:color="000000"/>
              <w:right w:val="nil"/>
            </w:tcBorders>
          </w:tcPr>
          <w:p>
            <w:pPr>
              <w:spacing w:before="20" w:after="20"/>
              <w:jc w:val="left"/>
            </w:pPr>
            <w:r>
              <w:rPr>
                <w:rFonts w:ascii="Cambria" w:hAnsi="Cambria" w:cs="Cambria" w:eastAsia="Cambria"/>
                <w:b w:val="0"/>
                <w:i w:val="0"/>
                <w:color w:val="000000"/>
                <w:sz w:val="16"/>
              </w:rPr>
              <w:t>ikisi</w:t>
            </w:r>
          </w:p>
        </w:tc>
        <w:tc>
          <w:tcPr>
            <w:tcW w:w="2495" w:type="dxa"/>
            <w:tcBorders>
              <w:top w:val="nil"/>
              <w:left w:val="nil"/>
              <w:bottom w:val="single" w:sz="8" w:space="0" w:color="000000"/>
              <w:right w:val="nil"/>
            </w:tcBorders>
          </w:tcPr>
          <w:p>
            <w:pPr>
              <w:spacing w:before="20" w:after="20"/>
              <w:jc w:val="right"/>
            </w:pPr>
            <w:r>
              <w:rPr>
                <w:rFonts w:ascii="Cambria" w:hAnsi="Cambria" w:cs="Cambria" w:eastAsia="Cambria"/>
                <w:b w:val="0"/>
                <w:i w:val="0"/>
                <w:color w:val="000000"/>
                <w:sz w:val="16"/>
              </w:rPr>
              <w:t>348,9  (254×θ)</w:t>
            </w:r>
          </w:p>
        </w:tc>
        <w:tc>
          <w:tcPr>
            <w:tcW w:w="2608" w:type="dxa"/>
            <w:tcBorders>
              <w:top w:val="nil"/>
              <w:left w:val="nil"/>
              <w:bottom w:val="single" w:sz="8" w:space="0" w:color="000000"/>
              <w:right w:val="nil"/>
            </w:tcBorders>
          </w:tcPr>
          <w:p>
            <w:pPr>
              <w:spacing w:before="20" w:after="20"/>
              <w:jc w:val="right"/>
            </w:pPr>
            <w:r>
              <w:rPr>
                <w:rFonts w:ascii="Cambria" w:hAnsi="Cambria" w:cs="Cambria" w:eastAsia="Cambria"/>
                <w:b w:val="0"/>
                <w:i w:val="0"/>
                <w:color w:val="000000"/>
                <w:sz w:val="16"/>
              </w:rPr>
              <w:t>427,7  (1087×θ)</w:t>
            </w:r>
          </w:p>
        </w:tc>
      </w:tr>
    </w:tbl>
    <w:p>
      <w:pPr>
        <w:spacing w:before="40" w:after="120"/>
        <w:jc w:val="both"/>
      </w:pPr>
      <w:r>
        <w:rPr>
          <w:rFonts w:ascii="Cambria" w:hAnsi="Cambria" w:cs="Cambria" w:eastAsia="Cambria"/>
          <w:b w:val="0"/>
          <w:i/>
          <w:color w:val="444444"/>
          <w:sz w:val="16"/>
        </w:rPr>
        <w:t>Kalıntı ve ham sütunları, modelin kendi yeniden yapılanma hatasını ve bunun o modelin P97 eşiğine oranını vermektedir; oranlar dağıtılan tohumun eşikleriyle (1,3723 ve 0,3934) hesaplanmıştır. Her üç olayda da iki model kendi eşiklerini aşmış ve üçü de uyarlanabilir kural kapalıyken mutlak kuralla verilmiştir. 2. ve 3. olaylar neredeyse aynı pozda, yedi saniye arayla gerçekleşmektedir; üçüncüsünün 44,95 saniyelik süresi, robotun temasta kalmasıdır, temizlenemeyen bir tespit değil.</w:t>
      </w:r>
    </w:p>
    <w:p>
      <w:pPr>
        <w:keepNext/>
        <w:spacing w:before="120" w:after="40"/>
        <w:jc w:val="center"/>
      </w:pPr>
      <w:r>
        <w:drawing>
          <wp:inline xmlns:a="http://schemas.openxmlformats.org/drawingml/2006/main" xmlns:pic="http://schemas.openxmlformats.org/drawingml/2006/picture">
            <wp:extent cx="6443999" cy="3334395"/>
            <wp:docPr id="5" name="Picture 5"/>
            <wp:cNvGraphicFramePr>
              <a:graphicFrameLocks noChangeAspect="1"/>
            </wp:cNvGraphicFramePr>
            <a:graphic>
              <a:graphicData uri="http://schemas.openxmlformats.org/drawingml/2006/picture">
                <pic:pic>
                  <pic:nvPicPr>
                    <pic:cNvPr id="0" name="fig5_collision.png"/>
                    <pic:cNvPicPr/>
                  </pic:nvPicPr>
                  <pic:blipFill>
                    <a:blip r:embed="rId32"/>
                    <a:stretch>
                      <a:fillRect/>
                    </a:stretch>
                  </pic:blipFill>
                  <pic:spPr>
                    <a:xfrm>
                      <a:off x="0" y="0"/>
                      <a:ext cx="6443999" cy="3334395"/>
                    </a:xfrm>
                    <a:prstGeom prst="rect"/>
                  </pic:spPr>
                </pic:pic>
              </a:graphicData>
            </a:graphic>
          </wp:inline>
        </w:drawing>
      </w:r>
    </w:p>
    <w:p>
      <w:pPr>
        <w:spacing w:before="0" w:after="120"/>
        <w:jc w:val="center"/>
        <w:sectPr w:rsidR="006A6232" w:rsidRPr="006A6232" w:rsidSect="00327F76">
          <w:footerReference w:type="default" r:id="rId25"/>
          <w:type w:val="continuous"/>
          <w:pgSz w:w="11906" w:h="16838" w:code="9"/>
          <w:pgMar w:top="1701" w:right="851" w:bottom="1418" w:left="851" w:header="1134" w:footer="851" w:gutter="0"/>
          <w:cols w:space="708"/>
          <w:docGrid w:linePitch="360"/>
        </w:sectPr>
      </w:pPr>
      <w:r>
        <w:rPr>
          <w:rFonts w:ascii="Cambria" w:hAnsi="Cambria" w:cs="Cambria" w:eastAsia="Cambria"/>
          <w:b/>
          <w:i w:val="0"/>
          <w:color w:val="000000"/>
          <w:sz w:val="18"/>
        </w:rPr>
        <w:t>Şekil 5.</w:t>
      </w:r>
      <w:r>
        <w:rPr>
          <w:rFonts w:ascii="Cambria" w:hAnsi="Cambria" w:cs="Cambria" w:eastAsia="Cambria"/>
          <w:b w:val="0"/>
          <w:i w:val="0"/>
          <w:color w:val="000000"/>
          <w:sz w:val="18"/>
        </w:rPr>
        <w:t xml:space="preserve"> Provoke Edilen Bir Çarpışmadan Sonra Operatör Arayüzü</w:t>
      </w:r>
      <w:r>
        <w:rPr>
          <w:rFonts w:ascii="Cambria" w:hAnsi="Cambria" w:cs="Cambria" w:eastAsia="Cambria"/>
          <w:b w:val="0"/>
          <w:i w:val="0"/>
          <w:color w:val="444444"/>
          <w:sz w:val="17"/>
        </w:rPr>
        <w:t xml:space="preserve">  3. olayın 44,95 saniyelik bloğu 25 seviyesindeki geniş platodur; solundaki dar sivri uç, yedi saniye önceki 2. olaydır. Eşik çizgisi 5'tedir. Ayrıştırma paneli her modelin yeniden yapılanma hatasını kendi eşiğine karşı vermekte, olay tablosu ise üç bloğun da operatörce doğrulandığını ve etiketsiz blok bulunmadığını göstermektedir. Oturumun kaydedilmiş kararlarından yeniden oynatılmıştır.</w:t>
      </w:r>
    </w:p>
    <w:p>
      <w:pPr>
        <w:pStyle w:val="Paragraf"/>
        <w:spacing w:before="120" w:after="0"/>
        <w:jc w:val="both"/>
      </w:pPr>
      <w:r>
        <w:rPr>
          <w:rFonts w:ascii="Cambria" w:hAnsi="Cambria" w:cs="Cambria" w:eastAsia="Cambria"/>
          <w:b w:val="0"/>
          <w:i w:val="0"/>
          <w:color w:val="000000"/>
          <w:sz w:val="20"/>
        </w:rPr>
        <w:t>Ayrım, bir eşik yapaylığı değil gerçektir. En zayıf doğrulanmış olay 11,30'da tepe yaparken o günün herhangi bir temiz koşusundaki en yüksek sapma 4,14'e ulaşmaktadır; dolayısıyla (4,14 · 11,30) aralığındaki her eşik üç tespit ve sıfır yanlış alarm vermektedir. Dağıtılan 5,0 değeri, gözlenenlerden daha zayıf olaylara pay bırakmak üzere bilinçli olarak bu aralığın alt ucundadır. Tablo 15 aralığın nasıl kapandığını göstermektedir.</w:t>
      </w:r>
    </w:p>
    <w:p>
      <w:pPr>
        <w:keepNext/>
        <w:spacing w:before="160" w:after="60"/>
        <w:jc w:val="left"/>
      </w:pPr>
      <w:r>
        <w:rPr>
          <w:rFonts w:ascii="Cambria" w:hAnsi="Cambria" w:cs="Cambria" w:eastAsia="Cambria"/>
          <w:b/>
          <w:i w:val="0"/>
          <w:color w:val="000000"/>
          <w:sz w:val="18"/>
        </w:rPr>
        <w:t>Tablo 15.</w:t>
      </w:r>
      <w:r>
        <w:rPr>
          <w:rFonts w:ascii="Cambria" w:hAnsi="Cambria" w:cs="Cambria" w:eastAsia="Cambria"/>
          <w:b w:val="0"/>
          <w:i w:val="0"/>
          <w:color w:val="000000"/>
          <w:sz w:val="18"/>
        </w:rPr>
        <w:t xml:space="preserve"> Tüm Kaydedilmiş Kararlardan Yeniden Sayılan Eşik Taraması.</w:t>
      </w:r>
    </w:p>
    <w:tbl>
      <w:tblPr>
        <w:jc w:val="center"/>
        <w:tblLook w:firstColumn="1" w:firstRow="1" w:lastColumn="0" w:lastRow="0" w:noHBand="0" w:noVBand="1" w:val="04A0"/>
        <w:tblW w:w="4734" w:type="dxa"/>
        <w:tblLayout w:type="fixed"/>
      </w:tblPr>
      <w:tblGrid>
        <w:gridCol w:w="1446"/>
        <w:gridCol w:w="1644"/>
        <w:gridCol w:w="1644"/>
      </w:tblGrid>
      <w:tr>
        <w:tc>
          <w:tcPr>
            <w:tcW w:w="1446"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Eşik</w:t>
            </w:r>
          </w:p>
        </w:tc>
        <w:tc>
          <w:tcPr>
            <w:tcW w:w="1644"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Temiz blok / dk</w:t>
            </w:r>
          </w:p>
        </w:tc>
        <w:tc>
          <w:tcPr>
            <w:tcW w:w="1644"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Yakalanan doğrulanmış olay</w:t>
            </w:r>
          </w:p>
        </w:tc>
      </w:tr>
      <w:tr>
        <w:tc>
          <w:tcPr>
            <w:tcW w:w="1446" w:type="dxa"/>
            <w:tcBorders>
              <w:top w:val="single" w:sz="4" w:space="0" w:color="000000"/>
              <w:left w:val="nil"/>
              <w:bottom w:val="nil"/>
              <w:right w:val="nil"/>
            </w:tcBorders>
          </w:tcPr>
          <w:p>
            <w:pPr>
              <w:spacing w:before="20" w:after="20"/>
              <w:jc w:val="left"/>
            </w:pPr>
            <w:r>
              <w:rPr>
                <w:rFonts w:ascii="Cambria" w:hAnsi="Cambria" w:cs="Cambria" w:eastAsia="Cambria"/>
                <w:b w:val="0"/>
                <w:i w:val="0"/>
                <w:color w:val="000000"/>
                <w:sz w:val="16"/>
              </w:rPr>
              <w:t>3,0</w:t>
            </w:r>
          </w:p>
        </w:tc>
        <w:tc>
          <w:tcPr>
            <w:tcW w:w="1644" w:type="dxa"/>
            <w:tcBorders>
              <w:top w:val="single" w:sz="4" w:space="0" w:color="000000"/>
              <w:left w:val="nil"/>
              <w:bottom w:val="nil"/>
              <w:right w:val="nil"/>
            </w:tcBorders>
          </w:tcPr>
          <w:p>
            <w:pPr>
              <w:spacing w:before="20" w:after="20"/>
              <w:jc w:val="right"/>
            </w:pPr>
            <w:r>
              <w:rPr>
                <w:rFonts w:ascii="Cambria" w:hAnsi="Cambria" w:cs="Cambria" w:eastAsia="Cambria"/>
                <w:b w:val="0"/>
                <w:i w:val="0"/>
                <w:color w:val="000000"/>
                <w:sz w:val="16"/>
              </w:rPr>
              <w:t>0,00</w:t>
            </w:r>
          </w:p>
        </w:tc>
        <w:tc>
          <w:tcPr>
            <w:tcW w:w="1644" w:type="dxa"/>
            <w:tcBorders>
              <w:top w:val="single" w:sz="4" w:space="0" w:color="000000"/>
              <w:left w:val="nil"/>
              <w:bottom w:val="nil"/>
              <w:right w:val="nil"/>
            </w:tcBorders>
          </w:tcPr>
          <w:p>
            <w:pPr>
              <w:spacing w:before="20" w:after="20"/>
              <w:jc w:val="right"/>
            </w:pPr>
            <w:r>
              <w:rPr>
                <w:rFonts w:ascii="Cambria" w:hAnsi="Cambria" w:cs="Cambria" w:eastAsia="Cambria"/>
                <w:b w:val="0"/>
                <w:i w:val="0"/>
                <w:color w:val="000000"/>
                <w:sz w:val="16"/>
              </w:rPr>
              <w:t>3 / 3  (parçalı)</w:t>
            </w:r>
          </w:p>
        </w:tc>
      </w:tr>
      <w:tr>
        <w:tc>
          <w:tcPr>
            <w:tcW w:w="1446" w:type="dxa"/>
            <w:tcBorders>
              <w:top w:val="nil"/>
              <w:left w:val="nil"/>
              <w:bottom w:val="nil"/>
              <w:right w:val="nil"/>
            </w:tcBorders>
          </w:tcPr>
          <w:p>
            <w:pPr>
              <w:spacing w:before="20" w:after="20"/>
              <w:jc w:val="left"/>
            </w:pPr>
            <w:r>
              <w:rPr>
                <w:rFonts w:ascii="Cambria" w:hAnsi="Cambria" w:cs="Cambria" w:eastAsia="Cambria"/>
                <w:b/>
                <w:i w:val="0"/>
                <w:color w:val="000000"/>
                <w:sz w:val="16"/>
              </w:rPr>
              <w:t>5,0</w:t>
            </w:r>
            <w:r>
              <w:rPr>
                <w:rFonts w:ascii="Cambria" w:hAnsi="Cambria" w:cs="Cambria" w:eastAsia="Cambria"/>
                <w:b w:val="0"/>
                <w:i w:val="0"/>
                <w:color w:val="000000"/>
                <w:sz w:val="16"/>
              </w:rPr>
              <w:t xml:space="preserve">  (dağıtılan)</w:t>
            </w:r>
          </w:p>
        </w:tc>
        <w:tc>
          <w:tcPr>
            <w:tcW w:w="1644" w:type="dxa"/>
            <w:tcBorders>
              <w:top w:val="nil"/>
              <w:left w:val="nil"/>
              <w:bottom w:val="nil"/>
              <w:right w:val="nil"/>
            </w:tcBorders>
          </w:tcPr>
          <w:p>
            <w:pPr>
              <w:spacing w:before="20" w:after="20"/>
              <w:jc w:val="right"/>
            </w:pPr>
            <w:r>
              <w:rPr>
                <w:rFonts w:ascii="Cambria" w:hAnsi="Cambria" w:cs="Cambria" w:eastAsia="Cambria"/>
                <w:b/>
                <w:i w:val="0"/>
                <w:color w:val="000000"/>
                <w:sz w:val="16"/>
              </w:rPr>
              <w:t>0,00</w:t>
            </w:r>
          </w:p>
        </w:tc>
        <w:tc>
          <w:tcPr>
            <w:tcW w:w="1644" w:type="dxa"/>
            <w:tcBorders>
              <w:top w:val="nil"/>
              <w:left w:val="nil"/>
              <w:bottom w:val="nil"/>
              <w:right w:val="nil"/>
            </w:tcBorders>
          </w:tcPr>
          <w:p>
            <w:pPr>
              <w:spacing w:before="20" w:after="20"/>
              <w:jc w:val="right"/>
            </w:pPr>
            <w:r>
              <w:rPr>
                <w:rFonts w:ascii="Cambria" w:hAnsi="Cambria" w:cs="Cambria" w:eastAsia="Cambria"/>
                <w:b/>
                <w:i w:val="0"/>
                <w:color w:val="000000"/>
                <w:sz w:val="16"/>
              </w:rPr>
              <w:t>3 / 3</w:t>
            </w:r>
          </w:p>
        </w:tc>
      </w:tr>
      <w:tr>
        <w:tc>
          <w:tcPr>
            <w:tcW w:w="1446" w:type="dxa"/>
            <w:tcBorders>
              <w:top w:val="nil"/>
              <w:left w:val="nil"/>
              <w:bottom w:val="nil"/>
              <w:right w:val="nil"/>
            </w:tcBorders>
          </w:tcPr>
          <w:p>
            <w:pPr>
              <w:spacing w:before="20" w:after="20"/>
              <w:jc w:val="left"/>
            </w:pPr>
            <w:r>
              <w:rPr>
                <w:rFonts w:ascii="Cambria" w:hAnsi="Cambria" w:cs="Cambria" w:eastAsia="Cambria"/>
                <w:b w:val="0"/>
                <w:i w:val="0"/>
                <w:color w:val="000000"/>
                <w:sz w:val="16"/>
              </w:rPr>
              <w:t>8,0</w:t>
            </w:r>
          </w:p>
        </w:tc>
        <w:tc>
          <w:tcPr>
            <w:tcW w:w="1644" w:type="dxa"/>
            <w:tcBorders>
              <w:top w:val="nil"/>
              <w:left w:val="nil"/>
              <w:bottom w:val="nil"/>
              <w:right w:val="nil"/>
            </w:tcBorders>
          </w:tcPr>
          <w:p>
            <w:pPr>
              <w:spacing w:before="20" w:after="20"/>
              <w:jc w:val="right"/>
            </w:pPr>
            <w:r>
              <w:rPr>
                <w:rFonts w:ascii="Cambria" w:hAnsi="Cambria" w:cs="Cambria" w:eastAsia="Cambria"/>
                <w:b w:val="0"/>
                <w:i w:val="0"/>
                <w:color w:val="000000"/>
                <w:sz w:val="16"/>
              </w:rPr>
              <w:t>0,00</w:t>
            </w:r>
          </w:p>
        </w:tc>
        <w:tc>
          <w:tcPr>
            <w:tcW w:w="1644" w:type="dxa"/>
            <w:tcBorders>
              <w:top w:val="nil"/>
              <w:left w:val="nil"/>
              <w:bottom w:val="nil"/>
              <w:right w:val="nil"/>
            </w:tcBorders>
          </w:tcPr>
          <w:p>
            <w:pPr>
              <w:spacing w:before="20" w:after="20"/>
              <w:jc w:val="right"/>
            </w:pPr>
            <w:r>
              <w:rPr>
                <w:rFonts w:ascii="Cambria" w:hAnsi="Cambria" w:cs="Cambria" w:eastAsia="Cambria"/>
                <w:b w:val="0"/>
                <w:i w:val="0"/>
                <w:color w:val="000000"/>
                <w:sz w:val="16"/>
              </w:rPr>
              <w:t>3 / 3</w:t>
            </w:r>
          </w:p>
        </w:tc>
      </w:tr>
      <w:tr>
        <w:tc>
          <w:tcPr>
            <w:tcW w:w="1446" w:type="dxa"/>
            <w:tcBorders>
              <w:top w:val="nil"/>
              <w:left w:val="nil"/>
              <w:bottom w:val="nil"/>
              <w:right w:val="nil"/>
            </w:tcBorders>
          </w:tcPr>
          <w:p>
            <w:pPr>
              <w:spacing w:before="20" w:after="20"/>
              <w:jc w:val="left"/>
            </w:pPr>
            <w:r>
              <w:rPr>
                <w:rFonts w:ascii="Cambria" w:hAnsi="Cambria" w:cs="Cambria" w:eastAsia="Cambria"/>
                <w:b w:val="0"/>
                <w:i w:val="0"/>
                <w:color w:val="000000"/>
                <w:sz w:val="16"/>
              </w:rPr>
              <w:t>11,3</w:t>
            </w:r>
          </w:p>
        </w:tc>
        <w:tc>
          <w:tcPr>
            <w:tcW w:w="1644" w:type="dxa"/>
            <w:tcBorders>
              <w:top w:val="nil"/>
              <w:left w:val="nil"/>
              <w:bottom w:val="nil"/>
              <w:right w:val="nil"/>
            </w:tcBorders>
          </w:tcPr>
          <w:p>
            <w:pPr>
              <w:spacing w:before="20" w:after="20"/>
              <w:jc w:val="right"/>
            </w:pPr>
            <w:r>
              <w:rPr>
                <w:rFonts w:ascii="Cambria" w:hAnsi="Cambria" w:cs="Cambria" w:eastAsia="Cambria"/>
                <w:b w:val="0"/>
                <w:i w:val="0"/>
                <w:color w:val="000000"/>
                <w:sz w:val="16"/>
              </w:rPr>
              <w:t>0,00</w:t>
            </w:r>
          </w:p>
        </w:tc>
        <w:tc>
          <w:tcPr>
            <w:tcW w:w="1644" w:type="dxa"/>
            <w:tcBorders>
              <w:top w:val="nil"/>
              <w:left w:val="nil"/>
              <w:bottom w:val="nil"/>
              <w:right w:val="nil"/>
            </w:tcBorders>
          </w:tcPr>
          <w:p>
            <w:pPr>
              <w:spacing w:before="20" w:after="20"/>
              <w:jc w:val="right"/>
            </w:pPr>
            <w:r>
              <w:rPr>
                <w:rFonts w:ascii="Cambria" w:hAnsi="Cambria" w:cs="Cambria" w:eastAsia="Cambria"/>
                <w:b w:val="0"/>
                <w:i w:val="0"/>
                <w:color w:val="000000"/>
                <w:sz w:val="16"/>
              </w:rPr>
              <w:t>2 / 3</w:t>
            </w:r>
          </w:p>
        </w:tc>
      </w:tr>
      <w:tr>
        <w:tc>
          <w:tcPr>
            <w:tcW w:w="1446" w:type="dxa"/>
            <w:tcBorders>
              <w:top w:val="nil"/>
              <w:left w:val="nil"/>
              <w:bottom w:val="nil"/>
              <w:right w:val="nil"/>
            </w:tcBorders>
          </w:tcPr>
          <w:p>
            <w:pPr>
              <w:spacing w:before="20" w:after="20"/>
              <w:jc w:val="left"/>
            </w:pPr>
            <w:r>
              <w:rPr>
                <w:rFonts w:ascii="Cambria" w:hAnsi="Cambria" w:cs="Cambria" w:eastAsia="Cambria"/>
                <w:b w:val="0"/>
                <w:i w:val="0"/>
                <w:color w:val="000000"/>
                <w:sz w:val="16"/>
              </w:rPr>
              <w:t>16,0</w:t>
            </w:r>
          </w:p>
        </w:tc>
        <w:tc>
          <w:tcPr>
            <w:tcW w:w="1644" w:type="dxa"/>
            <w:tcBorders>
              <w:top w:val="nil"/>
              <w:left w:val="nil"/>
              <w:bottom w:val="nil"/>
              <w:right w:val="nil"/>
            </w:tcBorders>
          </w:tcPr>
          <w:p>
            <w:pPr>
              <w:spacing w:before="20" w:after="20"/>
              <w:jc w:val="right"/>
            </w:pPr>
            <w:r>
              <w:rPr>
                <w:rFonts w:ascii="Cambria" w:hAnsi="Cambria" w:cs="Cambria" w:eastAsia="Cambria"/>
                <w:b w:val="0"/>
                <w:i w:val="0"/>
                <w:color w:val="000000"/>
                <w:sz w:val="16"/>
              </w:rPr>
              <w:t>0,00</w:t>
            </w:r>
          </w:p>
        </w:tc>
        <w:tc>
          <w:tcPr>
            <w:tcW w:w="1644" w:type="dxa"/>
            <w:tcBorders>
              <w:top w:val="nil"/>
              <w:left w:val="nil"/>
              <w:bottom w:val="nil"/>
              <w:right w:val="nil"/>
            </w:tcBorders>
          </w:tcPr>
          <w:p>
            <w:pPr>
              <w:spacing w:before="20" w:after="20"/>
              <w:jc w:val="right"/>
            </w:pPr>
            <w:r>
              <w:rPr>
                <w:rFonts w:ascii="Cambria" w:hAnsi="Cambria" w:cs="Cambria" w:eastAsia="Cambria"/>
                <w:b w:val="0"/>
                <w:i w:val="0"/>
                <w:color w:val="000000"/>
                <w:sz w:val="16"/>
              </w:rPr>
              <w:t>1 / 3</w:t>
            </w:r>
          </w:p>
        </w:tc>
      </w:tr>
      <w:tr>
        <w:tc>
          <w:tcPr>
            <w:tcW w:w="1446" w:type="dxa"/>
            <w:tcBorders>
              <w:top w:val="nil"/>
              <w:left w:val="nil"/>
              <w:bottom w:val="single" w:sz="8" w:space="0" w:color="000000"/>
              <w:right w:val="nil"/>
            </w:tcBorders>
          </w:tcPr>
          <w:p>
            <w:pPr>
              <w:spacing w:before="20" w:after="20"/>
              <w:jc w:val="left"/>
            </w:pPr>
            <w:r>
              <w:rPr>
                <w:rFonts w:ascii="Cambria" w:hAnsi="Cambria" w:cs="Cambria" w:eastAsia="Cambria"/>
                <w:b w:val="0"/>
                <w:i w:val="0"/>
                <w:color w:val="000000"/>
                <w:sz w:val="16"/>
              </w:rPr>
              <w:t>26,0</w:t>
            </w:r>
          </w:p>
        </w:tc>
        <w:tc>
          <w:tcPr>
            <w:tcW w:w="1644" w:type="dxa"/>
            <w:tcBorders>
              <w:top w:val="nil"/>
              <w:left w:val="nil"/>
              <w:bottom w:val="single" w:sz="8" w:space="0" w:color="000000"/>
              <w:right w:val="nil"/>
            </w:tcBorders>
          </w:tcPr>
          <w:p>
            <w:pPr>
              <w:spacing w:before="20" w:after="20"/>
              <w:jc w:val="right"/>
            </w:pPr>
            <w:r>
              <w:rPr>
                <w:rFonts w:ascii="Cambria" w:hAnsi="Cambria" w:cs="Cambria" w:eastAsia="Cambria"/>
                <w:b w:val="0"/>
                <w:i w:val="0"/>
                <w:color w:val="000000"/>
                <w:sz w:val="16"/>
              </w:rPr>
              <w:t>0,00</w:t>
            </w:r>
          </w:p>
        </w:tc>
        <w:tc>
          <w:tcPr>
            <w:tcW w:w="1644" w:type="dxa"/>
            <w:tcBorders>
              <w:top w:val="nil"/>
              <w:left w:val="nil"/>
              <w:bottom w:val="single" w:sz="8" w:space="0" w:color="000000"/>
              <w:right w:val="nil"/>
            </w:tcBorders>
          </w:tcPr>
          <w:p>
            <w:pPr>
              <w:spacing w:before="20" w:after="20"/>
              <w:jc w:val="right"/>
            </w:pPr>
            <w:r>
              <w:rPr>
                <w:rFonts w:ascii="Cambria" w:hAnsi="Cambria" w:cs="Cambria" w:eastAsia="Cambria"/>
                <w:b w:val="0"/>
                <w:i w:val="0"/>
                <w:color w:val="000000"/>
                <w:sz w:val="16"/>
              </w:rPr>
              <w:t>0 / 3</w:t>
            </w:r>
          </w:p>
        </w:tc>
      </w:tr>
    </w:tbl>
    <w:p>
      <w:pPr>
        <w:spacing w:before="40" w:after="120"/>
        <w:jc w:val="both"/>
      </w:pPr>
      <w:r>
        <w:rPr>
          <w:rFonts w:ascii="Cambria" w:hAnsi="Cambria" w:cs="Cambria" w:eastAsia="Cambria"/>
          <w:b w:val="0"/>
          <w:i/>
          <w:color w:val="444444"/>
          <w:sz w:val="16"/>
        </w:rPr>
        <w:t>14,3 dakikalık temiz çalışma ve doğrulanmış olayları içeren 10,0 dakika üzerinden, düğümün uyguladığı aynı iki-ardışık-karar kuralıyla yeniden sayılmıştır.</w:t>
      </w:r>
    </w:p>
    <w:p>
      <w:pPr>
        <w:pStyle w:val="Paragraf"/>
        <w:spacing w:before="120" w:after="0"/>
        <w:jc w:val="both"/>
      </w:pPr>
      <w:r>
        <w:rPr>
          <w:rFonts w:ascii="Cambria" w:hAnsi="Cambria" w:cs="Cambria" w:eastAsia="Cambria"/>
          <w:b/>
          <w:i w:val="0"/>
          <w:color w:val="000000"/>
          <w:sz w:val="20"/>
        </w:rPr>
        <w:t>Düşük genlikli bir temas tespit edilmemektedir ve hiçbir eşik onu geri kazandırmaz.</w:t>
      </w:r>
      <w:r>
        <w:rPr>
          <w:rFonts w:ascii="Cambria" w:hAnsi="Cambria" w:cs="Cambria" w:eastAsia="Cambria"/>
          <w:b w:val="0"/>
          <w:i w:val="0"/>
          <w:color w:val="000000"/>
          <w:sz w:val="20"/>
        </w:rPr>
        <w:t xml:space="preserve"> Tablo 13'ün ikinci satırında provoke edilen el teması, birleşik skoru o koşunun kendi medyanının 6,8 katına çıkarmıştır; oysa temiz muayene çevrimi rutin olarak kendi medyanının 26,7 katına ulaşmaktadır. Ortak ölçekte ifade edildiğinde, provoke edilen temasın tepe değeri olağan muayene hareketinin 75,6. persentiline düşmektedir: robotun normalde yaptığının dörtte üçünden küçüktür. Kaydedilmiş kararlar üzerinde bu olaya karşı dört karar kuralı değerlendirilmiştir — iki farklı normalleştirmede mutlak eşik, k ∈ [4, 32] aralığında taranan uyarlanabilir medyan + k·MAD kuralı ve 10, 30 ve 60 saniyelik pencerelerde kayan medyan çıkarımı. Her durumda temiz muayene koşusu, olayı içeren koşu kadar ya da ondan çok blok üretmiştir. Onları ayırmak için gereken sinyal bu iki skorda mevcut değildir.</w:t>
      </w:r>
    </w:p>
    <w:p>
      <w:pPr>
        <w:pStyle w:val="Paragraf"/>
        <w:spacing w:before="120" w:after="0"/>
        <w:jc w:val="both"/>
      </w:pPr>
      <w:r>
        <w:rPr>
          <w:rFonts w:ascii="Cambria" w:hAnsi="Cambria" w:cs="Cambria" w:eastAsia="Cambria"/>
          <w:b w:val="0"/>
          <w:i w:val="0"/>
          <w:color w:val="000000"/>
          <w:sz w:val="20"/>
        </w:rPr>
        <w:t>Dağıtılan sistemin çalışma zarfı bu nedenle açıktır: çarpışma büyüklüğündeki olaylar, 5'lik bir eşiğe karşı 11 ilâ 25 tepe değeriyle ve olağan çalışma üzerinde 3,9 katlık bir ayrım payıyla güvenilir biçimde tespit edilmekte; yavaş ve düşük genlikli temas ise edilmemektedir.</w:t>
      </w:r>
    </w:p>
    <w:p>
      <w:pPr>
        <w:pStyle w:val="Balk-1"/>
        <w:keepNext/>
        <w:spacing w:before="160" w:after="40"/>
      </w:pPr>
      <w:r>
        <w:rPr>
          <w:rFonts w:ascii="Cambria" w:hAnsi="Cambria" w:cs="Cambria" w:eastAsia="Cambria"/>
          <w:b/>
          <w:i w:val="0"/>
          <w:color w:val="000000"/>
          <w:sz w:val="20"/>
        </w:rPr>
        <w:t>4.8. Operatör Etiketlemesi</w:t>
      </w:r>
    </w:p>
    <w:p>
      <w:pPr>
        <w:pStyle w:val="Paragraf"/>
        <w:spacing w:before="120" w:after="0"/>
        <w:jc w:val="both"/>
      </w:pPr>
      <w:r>
        <w:rPr>
          <w:rFonts w:ascii="Cambria" w:hAnsi="Cambria" w:cs="Cambria" w:eastAsia="Cambria"/>
          <w:b w:val="0"/>
          <w:i w:val="0"/>
          <w:color w:val="000000"/>
          <w:sz w:val="20"/>
        </w:rPr>
        <w:t>Tablo 14'ün üç olayı, operatör hücrenin başında dururken Şekil 5'teki arayüz üzerinden sınıflandırılmıştır ve Bölüm 4.7'nin yanlış alarm sayısını bir izlenim değil bir ölçüm yapan şey de bu sınıflandırmadır: arayüz üç olay, üç doğrulanmış, sıfır yanlış alarm ve sıfır etiketsiz bildirmektedir. Etiketler, dedektörün hiç okumadığı bir dosyaya atomik olarak yazılır; dolayısıyla bir etiket hiçbir zaman bir kararı etkileyemez. Oturum başına köken kaydıyla birlikte bunlar, kaydedilmiş bir oturumu aylar sonra yeniden çözümlenebilir kılmaktadır ve Bölüm 4.7'deki eşik başarısızlığının modellere değil yapılandırmaya atfedilebilmesini sağlayan da budur.</w:t>
      </w:r>
    </w:p>
    <w:p>
      <w:pPr>
        <w:pStyle w:val="Paragraf"/>
        <w:spacing w:before="120" w:after="0"/>
        <w:jc w:val="both"/>
      </w:pPr>
      <w:r>
        <w:rPr>
          <w:rFonts w:ascii="Cambria" w:hAnsi="Cambria" w:cs="Cambria" w:eastAsia="Cambria"/>
          <w:b w:val="0"/>
          <w:i w:val="0"/>
          <w:color w:val="000000"/>
          <w:sz w:val="20"/>
        </w:rPr>
        <w:t>Şekil 5'teki ayrıştırma paneli her kararı hangi modelin sürüklediğini de kaydeder. Doğrulanmış üç çarpışmanın hepsinde her iki model de kendi eşiğini aşmıştır; kalıntı modeli 124 ilâ 270 kat, ham model 447 ilâ 1186 kat. Bölüm 4.7'deki tespit edilemeyen el temasıyla birlikte bu, iki uzayın gerçek arızalar sırasında nasıl davrandığına dair buradaki tek kanıttır ve Bölüm 4.4'te ortaya konan soruyu çözmemektedir: bu büyüklükteki olaylar her iki modeli de doyurmakta, dolayısıyla aralarında ayrım yapamamakta; ayrım yapacak kadar küçük olan tek olayı ise ikisi de görememektedir.</w:t>
      </w:r>
    </w:p>
    <w:p>
      <w:pPr>
        <w:pStyle w:val="Balk-1"/>
        <w:keepNext/>
        <w:spacing w:before="240" w:after="40"/>
      </w:pPr>
      <w:r>
        <w:rPr>
          <w:rFonts w:ascii="Cambria" w:hAnsi="Cambria" w:cs="Cambria" w:eastAsia="Cambria"/>
          <w:b/>
          <w:i w:val="0"/>
          <w:color w:val="000000"/>
          <w:sz w:val="20"/>
        </w:rPr>
        <w:t>5. Tartışma</w:t>
      </w:r>
    </w:p>
    <w:p>
      <w:pPr>
        <w:pStyle w:val="Balk-1"/>
        <w:keepNext/>
        <w:spacing w:before="160" w:after="40"/>
      </w:pPr>
      <w:r>
        <w:rPr>
          <w:rFonts w:ascii="Cambria" w:hAnsi="Cambria" w:cs="Cambria" w:eastAsia="Cambria"/>
          <w:b/>
          <w:i w:val="0"/>
          <w:color w:val="000000"/>
          <w:sz w:val="20"/>
        </w:rPr>
        <w:t>5.1. Genişletmenin Çevrimdışı Değiştirdikleri</w:t>
      </w:r>
    </w:p>
    <w:p>
      <w:pPr>
        <w:pStyle w:val="Paragraf"/>
        <w:spacing w:before="120" w:after="0"/>
        <w:jc w:val="both"/>
      </w:pPr>
      <w:r>
        <w:rPr>
          <w:rFonts w:ascii="Cambria" w:hAnsi="Cambria" w:cs="Cambria" w:eastAsia="Cambria"/>
          <w:b w:val="0"/>
          <w:i w:val="0"/>
          <w:color w:val="000000"/>
          <w:sz w:val="20"/>
        </w:rPr>
        <w:t>Genişletilmiş hat mutlak ölçütlerde önceki çalışmanın altında kalmakta ve sebepleri gizemli değil ölçülebilirdir. Arıza genlikleri artık gerçek fiziksel ölçektedir; 15 Nm olarak belirtilen bir rampa, amper cinsinden bir kanala çıplak sayı olarak eklenmek yerine 15 Nm olarak enjekte edilmektedir. Veri kümesi, bir yeniden yapılanma modelinin anomali diye okuduğu süreksizliklerden arındırılmıştır. Ve bölme koşu-ayrıktır; dolayısıyla değerlendirme artık kısmen modellerin daha önce yeniden inşa ettiği pencereler üzerinde ölçüm yapmamaktadır: temiz pencere skorunun test/eğitim oranı, önceki düzenin ürettiği yetmiş kata karşılık 0,48'dir.</w:t>
      </w:r>
    </w:p>
    <w:p>
      <w:pPr>
        <w:pStyle w:val="Paragraf"/>
        <w:spacing w:before="120" w:after="0"/>
        <w:jc w:val="both"/>
      </w:pPr>
      <w:r>
        <w:rPr>
          <w:rFonts w:ascii="Cambria" w:hAnsi="Cambria" w:cs="Cambria" w:eastAsia="Cambria"/>
          <w:b w:val="0"/>
          <w:i w:val="0"/>
          <w:color w:val="000000"/>
          <w:sz w:val="20"/>
        </w:rPr>
        <w:t>Genişletmeden sağ çıkan şey yapıdır. Birleşim hâlâ iki tekil modeli ve bütün referans yöntemleri geçmektedir; ağırlık taraması hâlâ aynı aralıkta geniş ve düzdür; tamamlayıcılık oranları önceki çalışmanınkilere yakın kalmaktadır, yalnız kalıntıda %27,6'ya karşı %24,1 ve yalnız hamda %28,0'a karşı %25,9. Tek yerine beş tohum raporlamak, kalan belirsizliğin nerede yaşadığını da göstermektedir: sıralama ölçütleri tohumlar arasında 0,01'den az değişirken çalışma noktası kesinliği ±0,086 değişmektedir, çünkü eşik, modellerce değil bölme tasarımınca daraltılmış bir doğrulama dağılımının persentilidir.</w:t>
      </w:r>
    </w:p>
    <w:p>
      <w:pPr>
        <w:pStyle w:val="Balk-1"/>
        <w:keepNext/>
        <w:spacing w:before="160" w:after="40"/>
      </w:pPr>
      <w:r>
        <w:rPr>
          <w:rFonts w:ascii="Cambria" w:hAnsi="Cambria" w:cs="Cambria" w:eastAsia="Cambria"/>
          <w:b/>
          <w:i w:val="0"/>
          <w:color w:val="000000"/>
          <w:sz w:val="20"/>
        </w:rPr>
        <w:t>5.2. Birleşim Marjı Enjeksiyon Protokolünün Bir Özelliğidir</w:t>
      </w:r>
    </w:p>
    <w:p>
      <w:pPr>
        <w:pStyle w:val="Paragraf"/>
        <w:spacing w:before="120" w:after="0"/>
        <w:jc w:val="both"/>
      </w:pPr>
      <w:r>
        <w:rPr>
          <w:rFonts w:ascii="Cambria" w:hAnsi="Cambria" w:cs="Cambria" w:eastAsia="Cambria"/>
          <w:b w:val="0"/>
          <w:i w:val="0"/>
          <w:color w:val="000000"/>
          <w:sz w:val="20"/>
        </w:rPr>
        <w:t>Bu makalenin merkezî çevrimdışı bulgusu olumsuzdur ve çerçevenin mimarisini değil kendi değerlendirmesini ilgilendirmektedir. Devralınan enjeksiyon protokolü altında birleşim, daha iyi tekil modele göre +0,189 ± 0,009 PR-AUC kazanmakta ve bu her tohumda pozitiftir. Arızanın yalnız ölçülen kanallara uygulandığı ve kalıntının hatça yeniden hesaplandığı bir protokolde ise aynı kazanç −0,003 ± 0,001'dir, yine her tohumda. Sürtünme terimini eklemek ya da çıkarmak bunu hiçbir yönde değiştirmemektedir (Tablo 10).</w:t>
      </w:r>
    </w:p>
    <w:p>
      <w:pPr>
        <w:pStyle w:val="Paragraf"/>
        <w:spacing w:before="120" w:after="0"/>
        <w:jc w:val="both"/>
      </w:pPr>
      <w:r>
        <w:rPr>
          <w:rFonts w:ascii="Cambria" w:hAnsi="Cambria" w:cs="Cambria" w:eastAsia="Cambria"/>
          <w:b w:val="0"/>
          <w:i w:val="0"/>
          <w:color w:val="000000"/>
          <w:sz w:val="20"/>
        </w:rPr>
        <w:t>Mekanizma tek bir genliktir. Devralınan protokol kalıntı uzayını elle seçilmiş bir sayıyla bozmakta ve sensör gürültüsü için o sayı 0,08 Nm'dir; referans çalışmada bu, senaryonun yalnız ham sinyali etkilemesi için kasten küçük tutulmuş olarak tanımlanmaktadır. Ama dışsal kalıntı r_ext = J(q)ᵀF'dir, wrench'in doğrusal bir dönüşümüdür; wrench gürültüsünü zayıflatmaz, dönüştürür. Fiziksel olarak yayıldığında 3,5 N'luk wrench gürültüsü 4,1 Nm'lik bir kalıntı bozulması üretmekte — enjekte edilen genliğin elli bir katı — ve kalıntı modeli bunu kusursuz tespit etmektedir. Birleşimi güdüleyen tamamlayıcılık o senaryoyla sınanmamış; onun tarafından tanımlanmıştır.</w:t>
      </w:r>
    </w:p>
    <w:p>
      <w:pPr>
        <w:pStyle w:val="Paragraf"/>
        <w:spacing w:before="120" w:after="0"/>
        <w:jc w:val="both"/>
      </w:pPr>
      <w:r>
        <w:rPr>
          <w:rFonts w:ascii="Cambria" w:hAnsi="Cambria" w:cs="Cambria" w:eastAsia="Cambria"/>
          <w:b w:val="0"/>
          <w:i w:val="0"/>
          <w:color w:val="000000"/>
          <w:sz w:val="20"/>
        </w:rPr>
        <w:t>Bu dar okunmalıdır. Çarpışma senaryosunun elle seçilen 40 Nm'lik kalıntı genliği, tepe değeri 80,5 Nm olan fiziksel yayılımla uyuşmaktadır; dolayısıyla referans çalışmanın seçimleri baştan sona keyfî değildir. Ve bulgu, ham sinyal modelinin işe yaramaz olduğunu göstermez — dört analitik bozulmanın, tutarlı biçimde uygulandığında bu iki temsil uzayı arasında ayrım yapmadığını gösterir. Gerçek arızalara ilişkin kanıt Bölüm 4.7'de, doğrulanmış üç çarpışmanın hepsinde her iki modelin de kendi eşiğini aştığı yerdedir.</w:t>
      </w:r>
    </w:p>
    <w:p>
      <w:pPr>
        <w:pStyle w:val="Balk-1"/>
        <w:keepNext/>
        <w:spacing w:before="160" w:after="40"/>
      </w:pPr>
      <w:r>
        <w:rPr>
          <w:rFonts w:ascii="Cambria" w:hAnsi="Cambria" w:cs="Cambria" w:eastAsia="Cambria"/>
          <w:b/>
          <w:i w:val="0"/>
          <w:color w:val="000000"/>
          <w:sz w:val="20"/>
        </w:rPr>
        <w:t>5.3. Çevrimdışı Eşik Neden Taşınmıyor</w:t>
      </w:r>
    </w:p>
    <w:p>
      <w:pPr>
        <w:pStyle w:val="Paragraf"/>
        <w:spacing w:before="120" w:after="0"/>
        <w:jc w:val="both"/>
      </w:pPr>
      <w:r>
        <w:rPr>
          <w:rFonts w:ascii="Cambria" w:hAnsi="Cambria" w:cs="Cambria" w:eastAsia="Cambria"/>
          <w:b w:val="0"/>
          <w:i w:val="0"/>
          <w:color w:val="000000"/>
          <w:sz w:val="20"/>
        </w:rPr>
        <w:t>Çevrimdışı bir doğrulama dağılımının 97. persentiline yerleştirilen bir eşik, donanımdaki kararların çoğunu alarm ilan etmiştir. Skorların kendisi olağan bir ölçektedir — hücrede kalibre edilmiş yapılandırma altında aynı temiz çalışma eşiğin 1,7 ilâ 35,3 katı altında kalmaktadır (Tablo 13) — dolayısıyla hata modellerde değil kestiricidedir.</w:t>
      </w:r>
    </w:p>
    <w:p>
      <w:pPr>
        <w:pStyle w:val="Paragraf"/>
        <w:spacing w:before="120" w:after="0"/>
        <w:jc w:val="both"/>
      </w:pPr>
      <w:r>
        <w:rPr>
          <w:rFonts w:ascii="Cambria" w:hAnsi="Cambria" w:cs="Cambria" w:eastAsia="Cambria"/>
          <w:b w:val="0"/>
          <w:i w:val="0"/>
          <w:color w:val="000000"/>
          <w:sz w:val="20"/>
        </w:rPr>
        <w:t>Bunu açıklayan ölçüm, modellerin olağan çalışma sırasında eğitim dağılımlarına olan uzaklığıdır: kalıntı modeli için doğrulama ortalama hatasının on bir katı, ham model için seksen altı katı. Dağıtımın hiç işgal etmediği bir dağılımın persentili, dağıtım hakkında bilgi taşımaz. İki model arasındaki asimetri pratik açıdan önemli olan kısımdır. Girdisi fiziksel modelce yörüngeye bağlı dinamiklerden arındırılmış olan kalıntı modeli, hücrede kendi eşiğinin 0,93'ünde oturmaktadır — iyi kalibre. Sinyalleri doğrudan okuyan ham model ise 7,28'inde. Buna rağmen yüzde beşlik bir ağırlıkla birleşik skorun %29'unu sağlamaktadır; çünkü yirmi beş kat küçük bir normalleştirme sabiti, küçük bir ağırlığı büyük bir etkiye çevirir. Bu, skor düzeyinde birleşimde genel bir tuzaktır: ağırlıklar, ancak normalleştiriciler geçerli olduğu sürece söyledikleri şeyi ifade ederler.</w:t>
      </w:r>
    </w:p>
    <w:p>
      <w:pPr>
        <w:pStyle w:val="Paragraf"/>
        <w:spacing w:before="120" w:after="0"/>
        <w:jc w:val="both"/>
      </w:pPr>
      <w:r>
        <w:rPr>
          <w:rFonts w:ascii="Cambria" w:hAnsi="Cambria" w:cs="Cambria" w:eastAsia="Cambria"/>
          <w:b w:val="0"/>
          <w:i w:val="0"/>
          <w:color w:val="000000"/>
          <w:sz w:val="20"/>
        </w:rPr>
        <w:t>Bölme tasarımının kendisi de katkıda bulunmaktadır ve genişletmenin merkezindeki ödünleşim budur. Doğrulama ve testi eğitim eklem aralığının içinde tutmak için — ki bu zorunludur, aksi hâlde hücredeki yüksek bir skor 'anomali' değil 'görülmemiş poz' anlamına gelirdi — on altı doğrulama koşusu eğitime benzerlikleri gözetilerek seçilmiştir. Doğrulama kaybı buna bağlı olarak düşmekte, ham model için referans çalışmadaki 0,320'ye karşılık 0,036'ya inmekte ve onunla birlikte θ'nın çekildiği dağılımın genişliği de daralmaktadır. Sızıntıyı ortadan kaldıran seçim, bu nedenle hücre için fazla dar bir eşik üretmiştir. Bu, modellerin bir kusuru değildir: kayıpları sürtünme terimiyle de terimsiz de aynıdır, dolayısıyla kalıntı tanımına da atfedilemez. Bu, bir çalışma noktasını eğitime benzemesi için seçilmiş veri üzerinde kestirmenin bir özelliğidir.</w:t>
      </w:r>
    </w:p>
    <w:p>
      <w:pPr>
        <w:pStyle w:val="Paragraf"/>
        <w:spacing w:before="120" w:after="0"/>
        <w:jc w:val="both"/>
      </w:pPr>
      <w:r>
        <w:rPr>
          <w:rFonts w:ascii="Cambria" w:hAnsi="Cambria" w:cs="Cambria" w:eastAsia="Cambria"/>
          <w:b w:val="0"/>
          <w:i w:val="0"/>
          <w:color w:val="000000"/>
          <w:sz w:val="20"/>
        </w:rPr>
        <w:t>Burada kullanılan çözüm yayımlanmış formülü korumakta ve yalnız büyüklüklerin kestirildiği kümeyi değiştirmektedir: hücrenin yaptığı her görevi kapsayan, robotta kaydedilmiş temiz kararlar ve min–maks aralığın yerine sağlam bir persentil. Son ayrıntı süs değildir. Gerçek hücre verisine uygulandığında min–maks aralığı modellenmemiş bir yükçe belirlenir — ters dinamikte yük terimi yoktur, dolayısıyla bir iş parçası taşımak sürekli bir kalıntı yanlılığı, içi 0,3 kadar değişen 85 saniyelik bir plato üretir — ve bunun üzerine uydurulan bir genişlik olağan olayları görünmez kılar.</w:t>
      </w:r>
    </w:p>
    <w:p>
      <w:pPr>
        <w:pStyle w:val="Balk-1"/>
        <w:keepNext/>
        <w:spacing w:before="160" w:after="40"/>
      </w:pPr>
      <w:r>
        <w:rPr>
          <w:rFonts w:ascii="Cambria" w:hAnsi="Cambria" w:cs="Cambria" w:eastAsia="Cambria"/>
          <w:b/>
          <w:i w:val="0"/>
          <w:color w:val="000000"/>
          <w:sz w:val="20"/>
        </w:rPr>
        <w:t>5.4. Sürtünme Terimi Ne Kazandırdı</w:t>
      </w:r>
    </w:p>
    <w:p>
      <w:pPr>
        <w:pStyle w:val="Paragraf"/>
        <w:spacing w:before="120" w:after="0"/>
        <w:jc w:val="both"/>
      </w:pPr>
      <w:r>
        <w:rPr>
          <w:rFonts w:ascii="Cambria" w:hAnsi="Cambria" w:cs="Cambria" w:eastAsia="Cambria"/>
          <w:b w:val="0"/>
          <w:i w:val="0"/>
          <w:color w:val="000000"/>
          <w:sz w:val="20"/>
        </w:rPr>
        <w:t>Çözücünün dışına bir Coulomb+viskoz terim eklemek, ters dinamiğin daha önce neredeyse hiç katkı vermediği ve kalıntının pratikte ham ölçüm olduğu iki kanalda — wrist_2 ve wrist_3 — kalıntı yayılımının %87 ve %92'sini gidermektedir. Bu, fiziksel sadakatte gerçek bir kazançtır ve arıza genliklerini altı eklemin hepsinde newton metre cinsinden yorumlanabilir kılmaktadır.</w:t>
      </w:r>
    </w:p>
    <w:p>
      <w:pPr>
        <w:pStyle w:val="Paragraf"/>
        <w:spacing w:before="120" w:after="0"/>
        <w:jc w:val="both"/>
      </w:pPr>
      <w:r>
        <w:rPr>
          <w:rFonts w:ascii="Cambria" w:hAnsi="Cambria" w:cs="Cambria" w:eastAsia="Cambria"/>
          <w:b w:val="0"/>
          <w:i w:val="0"/>
          <w:color w:val="000000"/>
          <w:sz w:val="20"/>
        </w:rPr>
        <w:t>Bir tespit kazancı değildir. Devralınan protokol altında kalıntı modeli +0,034 ± 0,009 PR-AUC iyileşmekte ve tohumlar arasında tutarlı davranmaktadır; fiziksel protokolde ise değişim −0,020 ± 0,027'dir ve anlamlı değildir. Ayrıca eşik kararlılığına da mal olmaktadır: çalışma eşiğinin tohumdan tohuma yayılımı ortalamasının %17'sinden %46'sına çıkmaktadır. Dürüst özet şudur: terim modeli düzeltmektedir ve modeli düzeltmek, bu belirli sentetik arızaların tespitini kendiliğinden iyileştirmemektedir. Dağıtılan yapılandırmada korunmasının sebebi, gerçek arızaların bu dördü olmaması ve söylediği şeyi ifade eden bir kalıntının, beklenmedik bir şey olduğunda üzerinde akıl yürütmeyi kolaylaştırmasıdır.</w:t>
      </w:r>
    </w:p>
    <w:p>
      <w:pPr>
        <w:pStyle w:val="Balk-1"/>
        <w:keepNext/>
        <w:spacing w:before="160" w:after="40"/>
      </w:pPr>
      <w:r>
        <w:rPr>
          <w:rFonts w:ascii="Cambria" w:hAnsi="Cambria" w:cs="Cambria" w:eastAsia="Cambria"/>
          <w:b/>
          <w:i w:val="0"/>
          <w:color w:val="000000"/>
          <w:sz w:val="20"/>
        </w:rPr>
        <w:t>5.5. Çalışma Zarfı</w:t>
      </w:r>
    </w:p>
    <w:p>
      <w:pPr>
        <w:pStyle w:val="Paragraf"/>
        <w:spacing w:before="120" w:after="0"/>
        <w:jc w:val="both"/>
      </w:pPr>
      <w:r>
        <w:rPr>
          <w:rFonts w:ascii="Cambria" w:hAnsi="Cambria" w:cs="Cambria" w:eastAsia="Cambria"/>
          <w:b w:val="0"/>
          <w:i w:val="0"/>
          <w:color w:val="000000"/>
          <w:sz w:val="20"/>
        </w:rPr>
        <w:t>Dağıtılan dedektör çarpışmaları yakalamakta, yavaş ve düşük genlikli teması yakalamamaktadır; bu cümlenin her iki yarısı da ölçülmüştür. Operatörce doğrulanmış üç çarpışma 5,0'lık bir eşiğe karşı 11,30 ile 25,04 arasında tepe yapmış; on dakikada etiketsiz hiçbir alarm bloğu ve on dört dakikalık olağan çalışmada hiç alarm oluşmamıştır. 4,14 ile 11,30 arasındaki her eşik aynı sonucu vermektedir. Buna karşılık kasten provoke edilen bir el teması, birleşik skoru o koşunun medyanının 6,8 katına çıkarmıştır; oysa olağan muayene hareketi rutin olarak kendi medyanının 26,7 katına ulaşmaktadır — provoke edilen olay normal çalışmanın 75,6. persentilinde oturmaktadır. Buna karşı dört karar kuralı değerlendirilmiş ve hiçbiri onu ayırmamıştır.</w:t>
      </w:r>
    </w:p>
    <w:p>
      <w:pPr>
        <w:pStyle w:val="Paragraf"/>
        <w:spacing w:before="120" w:after="0"/>
        <w:jc w:val="both"/>
      </w:pPr>
      <w:r>
        <w:rPr>
          <w:rFonts w:ascii="Cambria" w:hAnsi="Cambria" w:cs="Cambria" w:eastAsia="Cambria"/>
          <w:b w:val="0"/>
          <w:i w:val="0"/>
          <w:color w:val="000000"/>
          <w:sz w:val="20"/>
        </w:rPr>
        <w:t>Sınır bu nedenle eşik değil temsildir. Normal hareketin zaten ürettiği değişkenlikten küçük bir olay, bu iki skor üzerindeki hiçbir monoton kuralla yalıtılamaz. Bu boşluğu kapatmak için ya hücrenin kendi yörüngeleriyle eğitilmiş bir model gerekir — böylece olağan çalışma dağılım dışı olmaktan çıkar — ya da dinamiğe değil temasa tepki veren ek bir kanal. Zarfı belirtmek tek bir başlık sayısı vermekten daha yararlıdır: duyarlılık tabanı bilinmeyen bir güvenlik işlevini dağıtmak, tabanı yayımlanmış olandan daha zordur.</w:t>
      </w:r>
    </w:p>
    <w:p>
      <w:pPr>
        <w:pStyle w:val="Balk-1"/>
        <w:keepNext/>
        <w:spacing w:before="160" w:after="40"/>
      </w:pPr>
      <w:r>
        <w:rPr>
          <w:rFonts w:ascii="Cambria" w:hAnsi="Cambria" w:cs="Cambria" w:eastAsia="Cambria"/>
          <w:b/>
          <w:i w:val="0"/>
          <w:color w:val="000000"/>
          <w:sz w:val="20"/>
        </w:rPr>
        <w:t>5.6. Kısıtlar</w:t>
      </w:r>
    </w:p>
    <w:p>
      <w:pPr>
        <w:pStyle w:val="Paragraf"/>
        <w:spacing w:before="60" w:after="0"/>
        <w:ind w:left="227"/>
        <w:jc w:val="both"/>
      </w:pPr>
      <w:r>
        <w:rPr>
          <w:rFonts w:ascii="Cambria" w:hAnsi="Cambria" w:cs="Cambria" w:eastAsia="Cambria"/>
          <w:b w:val="0"/>
          <w:i w:val="0"/>
          <w:color w:val="000000"/>
          <w:sz w:val="20"/>
        </w:rPr>
        <w:t>•  Tek bir robot (UR10e) ve tek bir görev profili; başka robot tipleri üzerinde doğrulama yapılmamıştır.</w:t>
      </w:r>
    </w:p>
    <w:p>
      <w:pPr>
        <w:pStyle w:val="Paragraf"/>
        <w:spacing w:before="60" w:after="0"/>
        <w:ind w:left="227"/>
        <w:jc w:val="both"/>
      </w:pPr>
      <w:r>
        <w:rPr>
          <w:rFonts w:ascii="Cambria" w:hAnsi="Cambria" w:cs="Cambria" w:eastAsia="Cambria"/>
          <w:b w:val="0"/>
          <w:i w:val="0"/>
          <w:color w:val="000000"/>
          <w:sz w:val="20"/>
        </w:rPr>
        <w:t>•  Sentetik arızalar, fiziksel olarak enjekte edildiklerinde bile analitik bozulmalar olarak kalmaktadır. Çarpışma darbesi gerçek bir temas noktasından yayılmak yerine wrench kanallarına dağıtılmaktadır ve dört senaryonun, tutarlı biçimde enjekte edildiğinde iki temsil uzayı arasında ayrım yapmadığı Bölüm 4.4'te gösterilmiştir.</w:t>
      </w:r>
    </w:p>
    <w:p>
      <w:pPr>
        <w:pStyle w:val="Paragraf"/>
        <w:spacing w:before="60" w:after="0"/>
        <w:ind w:left="227"/>
        <w:jc w:val="both"/>
      </w:pPr>
      <w:r>
        <w:rPr>
          <w:rFonts w:ascii="Cambria" w:hAnsi="Cambria" w:cs="Cambria" w:eastAsia="Cambria"/>
          <w:b w:val="0"/>
          <w:i w:val="0"/>
          <w:color w:val="000000"/>
          <w:sz w:val="20"/>
        </w:rPr>
        <w:t>•  Akım–tork katsayısı altı eklemin yalnız ikisinde doğrudan ölçülebilmiştir; diğer dördü varsayımla türetilmiştir ve bu, tespiti değil fiziksel yorumu etkilemektedir.</w:t>
      </w:r>
    </w:p>
    <w:p>
      <w:pPr>
        <w:pStyle w:val="Paragraf"/>
        <w:spacing w:before="60" w:after="0"/>
        <w:ind w:left="227"/>
        <w:jc w:val="both"/>
      </w:pPr>
      <w:r>
        <w:rPr>
          <w:rFonts w:ascii="Cambria" w:hAnsi="Cambria" w:cs="Cambria" w:eastAsia="Cambria"/>
          <w:b w:val="0"/>
          <w:i w:val="0"/>
          <w:color w:val="000000"/>
          <w:sz w:val="20"/>
        </w:rPr>
        <w:t>•  Sürtünme katsayıları, yalnız sürtünmeyi değil hıza bağlı her model hatasını soğuran bir regresyonla uydurulmuştur. Bağımsız bir tribolojik doğrulama yapılmamıştır.</w:t>
      </w:r>
    </w:p>
    <w:p>
      <w:pPr>
        <w:pStyle w:val="Paragraf"/>
        <w:spacing w:before="60" w:after="0"/>
        <w:ind w:left="227"/>
        <w:jc w:val="both"/>
      </w:pPr>
      <w:r>
        <w:rPr>
          <w:rFonts w:ascii="Cambria" w:hAnsi="Cambria" w:cs="Cambria" w:eastAsia="Cambria"/>
          <w:b w:val="0"/>
          <w:i w:val="0"/>
          <w:color w:val="000000"/>
          <w:sz w:val="20"/>
        </w:rPr>
        <w:t>•  Ters dinamikte yük modeli yoktur. Bir iş parçası taşımak, dağıtılan eşiğin üstünde kaldığı ama açıklamadığı sürekli bir kalıntı yanlılığı üretmektedir.</w:t>
      </w:r>
    </w:p>
    <w:p>
      <w:pPr>
        <w:pStyle w:val="Paragraf"/>
        <w:spacing w:before="60" w:after="0"/>
        <w:ind w:left="227"/>
        <w:jc w:val="both"/>
      </w:pPr>
      <w:r>
        <w:rPr>
          <w:rFonts w:ascii="Cambria" w:hAnsi="Cambria" w:cs="Cambria" w:eastAsia="Cambria"/>
          <w:b w:val="0"/>
          <w:i w:val="0"/>
          <w:color w:val="000000"/>
          <w:sz w:val="20"/>
        </w:rPr>
        <w:t>•  Çalışma eşiği hücrede ölçülmektedir, ki bu zorunludur; ancak 15.627 kararlık bir kalibrasyon koşusunda ölçülmüş ve yirmi dört dakikalık çalışmada doğrulanmıştır. Tanımladığı zarf; sürücülerde termal sürüklenme, aşınma, parçadan parçaya değişkenlik ve operatör farkları bakımından devreye alma ölçeğinde bir sonuçtur.</w:t>
      </w:r>
    </w:p>
    <w:p>
      <w:pPr>
        <w:pStyle w:val="Paragraf"/>
        <w:spacing w:before="60" w:after="0"/>
        <w:ind w:left="227"/>
        <w:jc w:val="both"/>
      </w:pPr>
      <w:r>
        <w:rPr>
          <w:rFonts w:ascii="Cambria" w:hAnsi="Cambria" w:cs="Cambria" w:eastAsia="Cambria"/>
          <w:b w:val="0"/>
          <w:i w:val="0"/>
          <w:color w:val="000000"/>
          <w:sz w:val="20"/>
        </w:rPr>
        <w:t>•  Dağıtılan yapılandırma için yalnız üç doğrulanmış anomali olayı mevcuttu. (4,14 · 11,30) eşik aralığı aşağıdan gözlenen temiz çalışmayla, yukarıdan bu üç olayın en zayıfıyla sınırlıdır; daha zayıf bir gerçek olay aralığı daraltacaktır.</w:t>
      </w:r>
    </w:p>
    <w:p>
      <w:pPr>
        <w:pStyle w:val="Paragraf"/>
        <w:spacing w:before="60" w:after="0"/>
        <w:ind w:left="227"/>
        <w:jc w:val="both"/>
      </w:pPr>
      <w:r>
        <w:rPr>
          <w:rFonts w:ascii="Cambria" w:hAnsi="Cambria" w:cs="Cambria" w:eastAsia="Cambria"/>
          <w:b w:val="0"/>
          <w:i w:val="0"/>
          <w:color w:val="000000"/>
          <w:sz w:val="20"/>
        </w:rPr>
        <w:t>•  Çevrimiçi ölçümler CPU üzerinde alınmıştır; dağıtım iş istasyonunda GPU sağlayıcısıyla tekrarlanmalıdır.</w:t>
      </w:r>
    </w:p>
    <w:p>
      <w:pPr>
        <w:pStyle w:val="Paragraf"/>
        <w:spacing w:before="120" w:after="0"/>
        <w:jc w:val="both"/>
      </w:pPr>
    </w:p>
    <w:p>
      <w:pPr>
        <w:pStyle w:val="Balk-1"/>
        <w:keepNext/>
        <w:spacing w:before="240" w:after="40"/>
      </w:pPr>
      <w:r>
        <w:rPr>
          <w:rFonts w:ascii="Cambria" w:hAnsi="Cambria" w:cs="Cambria" w:eastAsia="Cambria"/>
          <w:b/>
          <w:i w:val="0"/>
          <w:color w:val="000000"/>
          <w:sz w:val="20"/>
        </w:rPr>
        <w:t>6. Sonuçlar</w:t>
      </w:r>
    </w:p>
    <w:p>
      <w:pPr>
        <w:pStyle w:val="Paragraf"/>
        <w:spacing w:before="120" w:after="0"/>
        <w:jc w:val="both"/>
      </w:pPr>
      <w:r>
        <w:rPr>
          <w:rFonts w:ascii="Cambria" w:hAnsi="Cambria" w:cs="Cambria" w:eastAsia="Cambria"/>
          <w:b w:val="0"/>
          <w:i w:val="0"/>
          <w:color w:val="000000"/>
          <w:sz w:val="20"/>
        </w:rPr>
        <w:t>Bu makale, kobot anomali tespiti için yayımlanmış bir skor düzeyi birleşim çerçevesini almış, genişletmiş ve fiziksel bir UR10e hücresinde çalışan bir dedektör olarak teslim etmiştir. Yol boyunca alınan her ölçüm, çerçevenin aleyhine olanlar dâhil, raporlanmıştır.</w:t>
      </w:r>
    </w:p>
    <w:p>
      <w:pPr>
        <w:pStyle w:val="Paragraf"/>
        <w:spacing w:before="120" w:after="0"/>
        <w:jc w:val="both"/>
      </w:pPr>
      <w:r>
        <w:rPr>
          <w:rFonts w:ascii="Cambria" w:hAnsi="Cambria" w:cs="Cambria" w:eastAsia="Cambria"/>
          <w:b w:val="0"/>
          <w:i w:val="0"/>
          <w:color w:val="000000"/>
          <w:sz w:val="20"/>
        </w:rPr>
        <w:t>Başlangıç çerçevesi bağımsız olarak yeniden kurulmuş ve mimari ile yordamsal bileşenleri birebir örtüşmüştür. Sinyallerin fiziksel ölçeğini saptamak, sonrasındaki her şeyin ön koşuluydu: sürücü effort alanına tork değil motor akımı yazmakta, dolayısıyla önceki sayılar birimleri karışık bir hatta üretilmiştir. O hat, her büyüklükte 0,013'ün içinde yeniden üretilmiştir; bu, önceki sayıların hangi ölçekte okunması gerektiğini sabitlemekte ve arıza genliklerini, sürtünme katsayılarını ve kalıntı büyüklüklerini genişletme için fiziksel olarak anlamlı kılmaktadır.</w:t>
      </w:r>
    </w:p>
    <w:p>
      <w:pPr>
        <w:pStyle w:val="Paragraf"/>
        <w:spacing w:before="120" w:after="0"/>
        <w:jc w:val="both"/>
      </w:pPr>
      <w:r>
        <w:rPr>
          <w:rFonts w:ascii="Cambria" w:hAnsi="Cambria" w:cs="Cambria" w:eastAsia="Cambria"/>
          <w:b w:val="0"/>
          <w:i w:val="0"/>
          <w:color w:val="000000"/>
          <w:sz w:val="20"/>
        </w:rPr>
        <w:t>Bu temel üzerine hat genişletilmiştir. Doğrulanmış çözücüde bulunmayan bir sürtünme terimi onun dışına eklenmiş, ters dinamiğin daha önce neredeyse hiç katkı vermediği iki bilek ekleminde kalıntı yayılımının %87 ve %92'si giderilmiş; değerlendirme beş eğitim tohumuyla koşu-ayrık bir bölme üzerine oturtulmuştur. Devralınan enjeksiyon protokolü altında birleşim üstünlüğünü korumaktadır: tekil modeller için 0,627 ± 0,006 ve 0,614 ± 0,016'ya karşılık F1 0,791 ± 0,023, yani +0,164'lük bir kazanç; tamamlayıcılık oranları önceki çalışmanınkilere yakındır.</w:t>
      </w:r>
    </w:p>
    <w:p>
      <w:pPr>
        <w:pStyle w:val="Paragraf"/>
        <w:spacing w:before="120" w:after="0"/>
        <w:jc w:val="both"/>
      </w:pPr>
      <w:r>
        <w:rPr>
          <w:rFonts w:ascii="Cambria" w:hAnsi="Cambria" w:cs="Cambria" w:eastAsia="Cambria"/>
          <w:b w:val="0"/>
          <w:i w:val="0"/>
          <w:color w:val="000000"/>
          <w:sz w:val="20"/>
        </w:rPr>
        <w:t>Enjeksiyon protokolünün kendisi ardından incelenmiştir ve bu, makalenin asıl olumsuz sonucudur. Aynı dört arıza yalnız ölçülen kanallara enjekte edilip kalıntı hatça yeniden hesaplandığında, birleşim marjı +0,189 ± 0,009'dan −0,003 ± 0,001 PR-AUC'ye düşmektedir; her tohumda ve sürtünme teriminden bağımsız olarak. Mekanizma tek bir genliktir: referans protokol, sensör gürültüsü senaryosu için kalıntı uzayını 0,08 Nm ile bozmakta ve bu, senaryonun yalnız ham sinyali etkilemesi için seçilmiştir; oysa aynı 3,5 N'luk wrench bozulmasının r_ext = J(q)ᵀF üzerinden fiziksel yayılımı 4,1 Nm üretmektedir. Referans çalışmanın tamamlayıcılığın sınavı olarak adlandırdığı senaryo onu sınamamaktadır. İki temsil uzayının tamamlayıcılığı bu nedenle burada modellerin değil, değerlendirme protokolünün bir özelliği olarak raporlanmaktadır.</w:t>
      </w:r>
    </w:p>
    <w:p>
      <w:pPr>
        <w:pStyle w:val="Paragraf"/>
        <w:spacing w:before="120" w:after="0"/>
        <w:jc w:val="both"/>
      </w:pPr>
      <w:r>
        <w:rPr>
          <w:rFonts w:ascii="Cambria" w:hAnsi="Cambria" w:cs="Cambria" w:eastAsia="Cambria"/>
          <w:b w:val="0"/>
          <w:i w:val="0"/>
          <w:color w:val="000000"/>
          <w:sz w:val="20"/>
        </w:rPr>
        <w:t>Sistem, öznitelik motoru — sürtünme terimi dâhil — çevrimdışı hatla kayan nokta düzeyinde örtüşen, her kararda iki modeli birden çalıştıran ve çıkarımı karar bütçesinin %12'sini tüketen 500 Hz'lik bir ROS 2 düğümü olarak gerçeklenmiştir.</w:t>
      </w:r>
    </w:p>
    <w:p>
      <w:pPr>
        <w:pStyle w:val="Paragraf"/>
        <w:spacing w:before="120" w:after="0"/>
        <w:jc w:val="both"/>
      </w:pPr>
      <w:r>
        <w:rPr>
          <w:rFonts w:ascii="Cambria" w:hAnsi="Cambria" w:cs="Cambria" w:eastAsia="Cambria"/>
          <w:b w:val="0"/>
          <w:i w:val="0"/>
          <w:color w:val="000000"/>
          <w:sz w:val="20"/>
        </w:rPr>
        <w:t>Donanımda çevrimdışı türetilen eşik taşınmamış, kararların %58'ini alarm ilan etmiştir. Sebep varsayılmak yerine ölçülmüştür: olağan çalışma sırasında kalıntı modeli doğrulama ortalama hatasının on bir katında, ham model seksen altı katında çalışmaktadır; dolayısıyla doğrulama dağılımının bir persentili dağıtım hakkında bilgi taşımaz. Pratik açıdan yararlı olan kısım asimetridir — kalıntı modeli hücrede kendi eşiğinin 0,93'ünde otururken ham model 7,28'inde oturmakta, bu da yüzde beş ağırlıklı bir modelin birleşik skorun %29'unu sağlamasına yol açmaktadır. Her iki ölçeğin ve eşiğin temiz hücre kararları üzerinde, min–maks aralığın yerine sağlam bir persentille yeniden kestirilmesi amaçlanan ağırlıklandırmayı geri getirmektedir.</w:t>
      </w:r>
    </w:p>
    <w:p>
      <w:pPr>
        <w:pStyle w:val="Paragraf"/>
        <w:spacing w:before="120" w:after="0"/>
        <w:jc w:val="both"/>
      </w:pPr>
      <w:r>
        <w:rPr>
          <w:rFonts w:ascii="Cambria" w:hAnsi="Cambria" w:cs="Cambria" w:eastAsia="Cambria"/>
          <w:b w:val="0"/>
          <w:i w:val="0"/>
          <w:color w:val="000000"/>
          <w:sz w:val="20"/>
        </w:rPr>
        <w:t>Bu yapılandırmayla dedektör provoke edilen çarpışmalara karşı doğrulanmıştır. Operatörce doğrulanmış üç olay, 5,0'lık bir eşiğe karşı 11,30, 16,13 ve 25,04 tepe değerleriyle yakalanmış; olay içeren on dakikalık çalışmada etiketsiz hiçbir alarm bloğu ve on dört dakikalık olağan çalışmada hiç alarm oluşmamıştır. (4,14 · 11,30) aralığındaki her eşik aynı sonucu vermektedir. Çalışma zarfı diğer yandan da sınırlıdır: kasten provoke edilen düşük genlikli bir el teması, olağan muayene hareketinin 26,7 katına karşılık yalnız kendi koşu medyanının 6,8 katına ulaşmış ve normal çalışmanın 75,6. persentiline yerleşmiştir. O olaya karşı dört karar kuralı değerlendirilmiş ve hiçbiri onu ayırmamıştır.</w:t>
      </w:r>
    </w:p>
    <w:p>
      <w:pPr>
        <w:pStyle w:val="Paragraf"/>
        <w:spacing w:before="120" w:after="0"/>
        <w:jc w:val="both"/>
      </w:pPr>
      <w:r>
        <w:rPr>
          <w:rFonts w:ascii="Cambria" w:hAnsi="Cambria" w:cs="Cambria" w:eastAsia="Cambria"/>
          <w:b w:val="0"/>
          <w:i w:val="0"/>
          <w:color w:val="000000"/>
          <w:sz w:val="20"/>
        </w:rPr>
        <w:t>Buradan iki yön çıkmaktadır. Duyarlılık tabanı eşiğin değil temsilin bir özelliğidir; dolayısıyla onu kapatmak, hücrenin kendi yörüngeleriyle eğitilmiş modeller — ki bu aynı zamanda eşik transferi başarısızlığının ardındaki dağılım dışı koşulu da ortadan kaldırırdı — ya da dinamiğe değil temasa tepki veren ek bir kanal gerektirir. İkincisi, sürtünme teriminin izlediği aynı desenle çözücünün dışına bir yük terimidir; çünkü taşıma sırasında normalleştirme ölçeğini yukarı zorlayan şey modellenmemiş yüktür. Her ikisi de hâlihazırda kurulu araçlarla desteklenmektedir: her karar, her alarm bloğu, operatörün etiketi ve bunları üreten yapılandırmanın kökeni diske yazılmaktadır.</w:t>
      </w:r>
    </w:p>
    <w:p>
      <w:pPr>
        <w:pStyle w:val="Balk-1"/>
        <w:keepNext/>
        <w:spacing w:before="240" w:after="40"/>
      </w:pPr>
      <w:r>
        <w:rPr>
          <w:rFonts w:ascii="Cambria" w:hAnsi="Cambria" w:cs="Cambria" w:eastAsia="Cambria"/>
          <w:b/>
          <w:i w:val="0"/>
          <w:color w:val="000000"/>
          <w:sz w:val="20"/>
        </w:rPr>
        <w:t>Teşekkür</w:t>
      </w:r>
    </w:p>
    <w:p>
      <w:pPr>
        <w:pStyle w:val="Paragraf"/>
        <w:spacing w:before="120" w:after="0"/>
        <w:jc w:val="both"/>
      </w:pPr>
      <w:r>
        <w:rPr>
          <w:rFonts w:ascii="Cambria" w:hAnsi="Cambria" w:cs="Cambria" w:eastAsia="Cambria"/>
          <w:b w:val="0"/>
          <w:i w:val="0"/>
          <w:color w:val="000000"/>
          <w:sz w:val="20"/>
        </w:rPr>
        <w:t>Proje, KDT Ortak Girişimi (101140216) ve üyeleri tarafından desteklenmektedir; ayrıca Vinnova (İsveç), Österreichische Forschungsförderungsgesellschaft mbH – FFG (Avusturya), Business Finland (Finlandiya), Üniversiteler ve Araştırma Bakanlığı (İtalya), FCT (Portekiz) ve TÜBİTAK (124N448) (Türkiye) tarafından ek finansman sağlanmıştır. Ölçümler ESOGÜ Akıllı Sistemler Uygulama ve Araştırma Merkezi'nin Otonom Sistemler ve Güvenilirlik Laboratuvarı'nda gerçekleştirilmiştir.</w:t>
      </w:r>
    </w:p>
    <w:p>
      <w:pPr>
        <w:pStyle w:val="Balk-1"/>
        <w:keepNext/>
        <w:spacing w:before="240" w:after="40"/>
      </w:pPr>
      <w:r>
        <w:rPr>
          <w:rFonts w:ascii="Cambria" w:hAnsi="Cambria" w:cs="Cambria" w:eastAsia="Cambria"/>
          <w:b/>
          <w:i w:val="0"/>
          <w:color w:val="000000"/>
          <w:sz w:val="20"/>
        </w:rPr>
        <w:t>Araştırmacıların Katkı Oranı</w:t>
      </w:r>
    </w:p>
    <w:p>
      <w:pPr>
        <w:pStyle w:val="Paragraf"/>
        <w:spacing w:before="120" w:after="0"/>
        <w:jc w:val="both"/>
      </w:pPr>
      <w:r>
        <w:rPr>
          <w:rFonts w:ascii="Cambria" w:hAnsi="Cambria" w:cs="Cambria" w:eastAsia="Cambria"/>
          <w:b w:val="0"/>
          <w:i w:val="0"/>
          <w:color w:val="000000"/>
          <w:sz w:val="20"/>
        </w:rPr>
        <w:t>Yazar 1: çevrimdışı hattın ve ROS 2 dedektör düğümünün tasarımı ve gerçeklenmesi, devreye alma ölçümleri, makalenin hazırlanması. Yazar 2: … . Yazar 3: … . (Yazarlar tarafından tamamlanacaktır.)</w:t>
      </w:r>
    </w:p>
    <w:p>
      <w:pPr>
        <w:pStyle w:val="Balk-1"/>
        <w:keepNext/>
        <w:spacing w:before="240" w:after="40"/>
      </w:pPr>
      <w:r>
        <w:rPr>
          <w:rFonts w:ascii="Cambria" w:hAnsi="Cambria" w:cs="Cambria" w:eastAsia="Cambria"/>
          <w:b/>
          <w:i w:val="0"/>
          <w:color w:val="000000"/>
          <w:sz w:val="20"/>
        </w:rPr>
        <w:t>Çıkar Çatışması</w:t>
      </w:r>
    </w:p>
    <w:p>
      <w:pPr>
        <w:pStyle w:val="Paragraf"/>
        <w:spacing w:before="120" w:after="0"/>
        <w:jc w:val="both"/>
      </w:pPr>
      <w:r>
        <w:rPr>
          <w:rFonts w:ascii="Cambria" w:hAnsi="Cambria" w:cs="Cambria" w:eastAsia="Cambria"/>
          <w:b w:val="0"/>
          <w:i w:val="0"/>
          <w:color w:val="000000"/>
          <w:sz w:val="20"/>
        </w:rPr>
        <w:t>Yazarlar tarafından herhangi bir çıkar çatışması bildirilmemiştir.</w:t>
      </w:r>
    </w:p>
    <w:p>
      <w:pPr>
        <w:pStyle w:val="Balk-1"/>
        <w:keepNext/>
        <w:spacing w:before="240" w:after="40"/>
      </w:pPr>
      <w:r>
        <w:rPr>
          <w:rFonts w:ascii="Cambria" w:hAnsi="Cambria" w:cs="Cambria" w:eastAsia="Cambria"/>
          <w:b/>
          <w:i w:val="0"/>
          <w:color w:val="000000"/>
          <w:sz w:val="20"/>
        </w:rPr>
        <w:t>Kaynaklar</w:t>
      </w:r>
    </w:p>
    <w:p>
      <w:pPr>
        <w:pStyle w:val="Kaynaklar"/>
        <w:spacing w:before="120" w:after="0"/>
        <w:ind w:left="283" w:hanging="283"/>
        <w:jc w:val="both"/>
      </w:pPr>
      <w:r>
        <w:rPr>
          <w:rFonts w:ascii="Cambria" w:hAnsi="Cambria" w:cs="Cambria" w:eastAsia="Cambria"/>
          <w:b w:val="0"/>
          <w:i w:val="0"/>
          <w:color w:val="000000"/>
          <w:sz w:val="20"/>
        </w:rPr>
        <w:t xml:space="preserve">Blochwitz, T., Otter, M., Arnold, M., Bausch, C., Clauß, C., Elmqvist, H., … Wolf, S. (2011). The Functional Mockup Interface for tool independent exchange of simulation models. </w:t>
      </w:r>
      <w:r>
        <w:rPr>
          <w:rFonts w:ascii="Cambria" w:hAnsi="Cambria" w:cs="Cambria" w:eastAsia="Cambria"/>
          <w:b w:val="0"/>
          <w:i/>
          <w:color w:val="000000"/>
          <w:sz w:val="20"/>
        </w:rPr>
        <w:t>Proceedings of the 8th International Modelica Conference</w:t>
      </w:r>
      <w:r>
        <w:rPr>
          <w:rFonts w:ascii="Cambria" w:hAnsi="Cambria" w:cs="Cambria" w:eastAsia="Cambria"/>
          <w:b w:val="0"/>
          <w:i w:val="0"/>
          <w:color w:val="000000"/>
          <w:sz w:val="20"/>
        </w:rPr>
        <w:t>, 105–114, Dresden, Germany.</w:t>
      </w:r>
    </w:p>
    <w:p>
      <w:pPr>
        <w:pStyle w:val="Kaynaklar"/>
        <w:spacing w:before="120" w:after="0"/>
        <w:ind w:left="283" w:hanging="283"/>
        <w:jc w:val="both"/>
      </w:pPr>
      <w:r>
        <w:rPr>
          <w:rFonts w:ascii="Cambria" w:hAnsi="Cambria" w:cs="Cambria" w:eastAsia="Cambria"/>
          <w:b w:val="0"/>
          <w:i w:val="0"/>
          <w:color w:val="000000"/>
          <w:sz w:val="20"/>
        </w:rPr>
        <w:t xml:space="preserve">Correia, L., Goos, J. C., Klein, P., Bäck, T. &amp; Kononova, A. V. (2024). Online model-based anomaly detection in multivariate time series: Taxonomy, survey, research challenges and future directions. </w:t>
      </w:r>
      <w:r>
        <w:rPr>
          <w:rFonts w:ascii="Cambria" w:hAnsi="Cambria" w:cs="Cambria" w:eastAsia="Cambria"/>
          <w:b w:val="0"/>
          <w:i/>
          <w:color w:val="000000"/>
          <w:sz w:val="20"/>
        </w:rPr>
        <w:t>Engineering Applications of Artificial Intelligence, 138</w:t>
      </w:r>
      <w:r>
        <w:rPr>
          <w:rFonts w:ascii="Cambria" w:hAnsi="Cambria" w:cs="Cambria" w:eastAsia="Cambria"/>
          <w:b w:val="0"/>
          <w:i w:val="0"/>
          <w:color w:val="000000"/>
          <w:sz w:val="20"/>
        </w:rPr>
        <w:t>, 109323.</w:t>
      </w:r>
    </w:p>
    <w:p>
      <w:pPr>
        <w:pStyle w:val="Kaynaklar"/>
        <w:spacing w:before="120" w:after="0"/>
        <w:ind w:left="283" w:hanging="283"/>
        <w:jc w:val="both"/>
      </w:pPr>
      <w:r>
        <w:rPr>
          <w:rFonts w:ascii="Cambria" w:hAnsi="Cambria" w:cs="Cambria" w:eastAsia="Cambria"/>
          <w:b w:val="0"/>
          <w:i w:val="0"/>
          <w:color w:val="000000"/>
          <w:sz w:val="20"/>
        </w:rPr>
        <w:t xml:space="preserve">Darban, Z. Z., Webb, G. I., Pan, S., Aggarwal, C. C. &amp; Salehi, M. (2024). Deep learning for time series anomaly detection: A survey. </w:t>
      </w:r>
      <w:r>
        <w:rPr>
          <w:rFonts w:ascii="Cambria" w:hAnsi="Cambria" w:cs="Cambria" w:eastAsia="Cambria"/>
          <w:b w:val="0"/>
          <w:i/>
          <w:color w:val="000000"/>
          <w:sz w:val="20"/>
        </w:rPr>
        <w:t>ACM Computing Surveys, 57</w:t>
      </w:r>
      <w:r>
        <w:rPr>
          <w:rFonts w:ascii="Cambria" w:hAnsi="Cambria" w:cs="Cambria" w:eastAsia="Cambria"/>
          <w:b w:val="0"/>
          <w:i w:val="0"/>
          <w:color w:val="000000"/>
          <w:sz w:val="20"/>
        </w:rPr>
        <w:t>(1), 1–42.</w:t>
      </w:r>
    </w:p>
    <w:p>
      <w:pPr>
        <w:pStyle w:val="Kaynaklar"/>
        <w:spacing w:before="120" w:after="0"/>
        <w:ind w:left="283" w:hanging="283"/>
        <w:jc w:val="both"/>
      </w:pPr>
      <w:r>
        <w:rPr>
          <w:rFonts w:ascii="Cambria" w:hAnsi="Cambria" w:cs="Cambria" w:eastAsia="Cambria"/>
          <w:b w:val="0"/>
          <w:i w:val="0"/>
          <w:color w:val="000000"/>
          <w:sz w:val="20"/>
        </w:rPr>
        <w:t xml:space="preserve">Haddadin, S., De Luca, A. &amp; Albu-Schäffer, A. (2017). Robot collisions: A survey on detection, isolation, and identification. </w:t>
      </w:r>
      <w:r>
        <w:rPr>
          <w:rFonts w:ascii="Cambria" w:hAnsi="Cambria" w:cs="Cambria" w:eastAsia="Cambria"/>
          <w:b w:val="0"/>
          <w:i/>
          <w:color w:val="000000"/>
          <w:sz w:val="20"/>
        </w:rPr>
        <w:t>IEEE Transactions on Robotics, 33</w:t>
      </w:r>
      <w:r>
        <w:rPr>
          <w:rFonts w:ascii="Cambria" w:hAnsi="Cambria" w:cs="Cambria" w:eastAsia="Cambria"/>
          <w:b w:val="0"/>
          <w:i w:val="0"/>
          <w:color w:val="000000"/>
          <w:sz w:val="20"/>
        </w:rPr>
        <w:t>(6), 1292–1312.</w:t>
      </w:r>
    </w:p>
    <w:p>
      <w:pPr>
        <w:pStyle w:val="Kaynaklar"/>
        <w:spacing w:before="120" w:after="0"/>
        <w:ind w:left="283" w:hanging="283"/>
        <w:jc w:val="both"/>
      </w:pPr>
      <w:r>
        <w:rPr>
          <w:rFonts w:ascii="Cambria" w:hAnsi="Cambria" w:cs="Cambria" w:eastAsia="Cambria"/>
          <w:b w:val="0"/>
          <w:i w:val="0"/>
          <w:color w:val="000000"/>
          <w:sz w:val="20"/>
        </w:rPr>
        <w:t xml:space="preserve">Huang, X., Chen, N., Deng, Z. &amp; Huang, S. (2024). Multivariate time series anomaly detection via dynamic graph attention network and Informer. </w:t>
      </w:r>
      <w:r>
        <w:rPr>
          <w:rFonts w:ascii="Cambria" w:hAnsi="Cambria" w:cs="Cambria" w:eastAsia="Cambria"/>
          <w:b w:val="0"/>
          <w:i/>
          <w:color w:val="000000"/>
          <w:sz w:val="20"/>
        </w:rPr>
        <w:t>Applied Intelligence, 54</w:t>
      </w:r>
      <w:r>
        <w:rPr>
          <w:rFonts w:ascii="Cambria" w:hAnsi="Cambria" w:cs="Cambria" w:eastAsia="Cambria"/>
          <w:b w:val="0"/>
          <w:i w:val="0"/>
          <w:color w:val="000000"/>
          <w:sz w:val="20"/>
        </w:rPr>
        <w:t>, 7636–7658.</w:t>
      </w:r>
    </w:p>
    <w:p>
      <w:pPr>
        <w:pStyle w:val="Kaynaklar"/>
        <w:spacing w:before="120" w:after="0"/>
        <w:ind w:left="283" w:hanging="283"/>
        <w:jc w:val="both"/>
      </w:pPr>
      <w:r>
        <w:rPr>
          <w:rFonts w:ascii="Cambria" w:hAnsi="Cambria" w:cs="Cambria" w:eastAsia="Cambria"/>
          <w:b w:val="0"/>
          <w:i w:val="0"/>
          <w:color w:val="000000"/>
          <w:sz w:val="20"/>
        </w:rPr>
        <w:t xml:space="preserve">Katsampiris-Salgado, K., Dimitropoulos, N., Gkrizis, C., Michalos, G. &amp; Makris, S. (2024). Collision detection for collaborative assembly operations on high-payload robots. </w:t>
      </w:r>
      <w:r>
        <w:rPr>
          <w:rFonts w:ascii="Cambria" w:hAnsi="Cambria" w:cs="Cambria" w:eastAsia="Cambria"/>
          <w:b w:val="0"/>
          <w:i/>
          <w:color w:val="000000"/>
          <w:sz w:val="20"/>
        </w:rPr>
        <w:t>Robotics and Computer-Integrated Manufacturing, 87</w:t>
      </w:r>
      <w:r>
        <w:rPr>
          <w:rFonts w:ascii="Cambria" w:hAnsi="Cambria" w:cs="Cambria" w:eastAsia="Cambria"/>
          <w:b w:val="0"/>
          <w:i w:val="0"/>
          <w:color w:val="000000"/>
          <w:sz w:val="20"/>
        </w:rPr>
        <w:t>, 102708.</w:t>
      </w:r>
    </w:p>
    <w:p>
      <w:pPr>
        <w:pStyle w:val="Kaynaklar"/>
        <w:spacing w:before="120" w:after="0"/>
        <w:ind w:left="283" w:hanging="283"/>
        <w:jc w:val="both"/>
      </w:pPr>
      <w:r>
        <w:rPr>
          <w:rFonts w:ascii="Cambria" w:hAnsi="Cambria" w:cs="Cambria" w:eastAsia="Cambria"/>
          <w:b w:val="0"/>
          <w:i w:val="0"/>
          <w:color w:val="000000"/>
          <w:sz w:val="20"/>
        </w:rPr>
        <w:t xml:space="preserve">Leys, C., Ley, C., Klein, O., Bernard, P. &amp; Licata, L. (2013). Detecting outliers: Do not use standard deviation around the mean, use absolute deviation around the median. </w:t>
      </w:r>
      <w:r>
        <w:rPr>
          <w:rFonts w:ascii="Cambria" w:hAnsi="Cambria" w:cs="Cambria" w:eastAsia="Cambria"/>
          <w:b w:val="0"/>
          <w:i/>
          <w:color w:val="000000"/>
          <w:sz w:val="20"/>
        </w:rPr>
        <w:t>Journal of Experimental Social Psychology, 49</w:t>
      </w:r>
      <w:r>
        <w:rPr>
          <w:rFonts w:ascii="Cambria" w:hAnsi="Cambria" w:cs="Cambria" w:eastAsia="Cambria"/>
          <w:b w:val="0"/>
          <w:i w:val="0"/>
          <w:color w:val="000000"/>
          <w:sz w:val="20"/>
        </w:rPr>
        <w:t>(4), 764–766.</w:t>
      </w:r>
    </w:p>
    <w:p>
      <w:pPr>
        <w:pStyle w:val="Kaynaklar"/>
        <w:spacing w:before="120" w:after="0"/>
        <w:ind w:left="283" w:hanging="283"/>
        <w:jc w:val="both"/>
      </w:pPr>
      <w:r>
        <w:rPr>
          <w:rFonts w:ascii="Cambria" w:hAnsi="Cambria" w:cs="Cambria" w:eastAsia="Cambria"/>
          <w:b w:val="0"/>
          <w:i w:val="0"/>
          <w:color w:val="000000"/>
          <w:sz w:val="20"/>
        </w:rPr>
        <w:t xml:space="preserve">Li, W., Han, Y. &amp; Xiong, Z. (2020). Collision detection of robots based on a force/torque sensor at the bedplate. </w:t>
      </w:r>
      <w:r>
        <w:rPr>
          <w:rFonts w:ascii="Cambria" w:hAnsi="Cambria" w:cs="Cambria" w:eastAsia="Cambria"/>
          <w:b w:val="0"/>
          <w:i/>
          <w:color w:val="000000"/>
          <w:sz w:val="20"/>
        </w:rPr>
        <w:t>IEEE Transactions on Industrial Electronics, 67</w:t>
      </w:r>
      <w:r>
        <w:rPr>
          <w:rFonts w:ascii="Cambria" w:hAnsi="Cambria" w:cs="Cambria" w:eastAsia="Cambria"/>
          <w:b w:val="0"/>
          <w:i w:val="0"/>
          <w:color w:val="000000"/>
          <w:sz w:val="20"/>
        </w:rPr>
        <w:t>(12), 12440–12449.</w:t>
      </w:r>
    </w:p>
    <w:p>
      <w:pPr>
        <w:pStyle w:val="Kaynaklar"/>
        <w:spacing w:before="120" w:after="0"/>
        <w:ind w:left="283" w:hanging="283"/>
        <w:jc w:val="both"/>
      </w:pPr>
      <w:r>
        <w:rPr>
          <w:rFonts w:ascii="Cambria" w:hAnsi="Cambria" w:cs="Cambria" w:eastAsia="Cambria"/>
          <w:b w:val="0"/>
          <w:i w:val="0"/>
          <w:color w:val="000000"/>
          <w:sz w:val="20"/>
        </w:rPr>
        <w:t xml:space="preserve">Liu, K., Wang, L., Zhang, X., Sun, Y. &amp; Li, J. (2025). Anomaly detection in multidimensional time series for water injection pump operations based on LSTMA-AE and mechanism constraints. </w:t>
      </w:r>
      <w:r>
        <w:rPr>
          <w:rFonts w:ascii="Cambria" w:hAnsi="Cambria" w:cs="Cambria" w:eastAsia="Cambria"/>
          <w:b w:val="0"/>
          <w:i/>
          <w:color w:val="000000"/>
          <w:sz w:val="20"/>
        </w:rPr>
        <w:t>Scientific Reports, 15</w:t>
      </w:r>
      <w:r>
        <w:rPr>
          <w:rFonts w:ascii="Cambria" w:hAnsi="Cambria" w:cs="Cambria" w:eastAsia="Cambria"/>
          <w:b w:val="0"/>
          <w:i w:val="0"/>
          <w:color w:val="000000"/>
          <w:sz w:val="20"/>
        </w:rPr>
        <w:t>.</w:t>
      </w:r>
    </w:p>
    <w:p>
      <w:pPr>
        <w:pStyle w:val="Kaynaklar"/>
        <w:spacing w:before="120" w:after="0"/>
        <w:ind w:left="283" w:hanging="283"/>
        <w:jc w:val="both"/>
      </w:pPr>
      <w:r>
        <w:rPr>
          <w:rFonts w:ascii="Cambria" w:hAnsi="Cambria" w:cs="Cambria" w:eastAsia="Cambria"/>
          <w:b w:val="0"/>
          <w:i w:val="0"/>
          <w:color w:val="000000"/>
          <w:sz w:val="20"/>
        </w:rPr>
        <w:t xml:space="preserve">Macenski, S., Foote, T., Gerkey, B., Lalancette, C. &amp; Woodall, W. (2022). Robot Operating System 2: Design, architecture, and uses in the wild. </w:t>
      </w:r>
      <w:r>
        <w:rPr>
          <w:rFonts w:ascii="Cambria" w:hAnsi="Cambria" w:cs="Cambria" w:eastAsia="Cambria"/>
          <w:b w:val="0"/>
          <w:i/>
          <w:color w:val="000000"/>
          <w:sz w:val="20"/>
        </w:rPr>
        <w:t>Science Robotics, 7</w:t>
      </w:r>
      <w:r>
        <w:rPr>
          <w:rFonts w:ascii="Cambria" w:hAnsi="Cambria" w:cs="Cambria" w:eastAsia="Cambria"/>
          <w:b w:val="0"/>
          <w:i w:val="0"/>
          <w:color w:val="000000"/>
          <w:sz w:val="20"/>
        </w:rPr>
        <w:t>(66), eabm6074.</w:t>
      </w:r>
    </w:p>
    <w:p>
      <w:pPr>
        <w:pStyle w:val="Kaynaklar"/>
        <w:spacing w:before="120" w:after="0"/>
        <w:ind w:left="283" w:hanging="283"/>
        <w:jc w:val="both"/>
      </w:pPr>
      <w:r>
        <w:rPr>
          <w:rFonts w:ascii="Cambria" w:hAnsi="Cambria" w:cs="Cambria" w:eastAsia="Cambria"/>
          <w:b w:val="0"/>
          <w:i w:val="0"/>
          <w:color w:val="000000"/>
          <w:sz w:val="20"/>
        </w:rPr>
        <w:t xml:space="preserve">Malhotra, P., Ramakrishnan, A., Anand, G., Vig, L., Agarwal, P. &amp; Shroff, G. (2016). LSTM-based encoder-decoder for multi-sensor anomaly detection. </w:t>
      </w:r>
      <w:r>
        <w:rPr>
          <w:rFonts w:ascii="Cambria" w:hAnsi="Cambria" w:cs="Cambria" w:eastAsia="Cambria"/>
          <w:b w:val="0"/>
          <w:i/>
          <w:color w:val="000000"/>
          <w:sz w:val="20"/>
        </w:rPr>
        <w:t>arXiv preprint arXiv:1607.00148</w:t>
      </w:r>
      <w:r>
        <w:rPr>
          <w:rFonts w:ascii="Cambria" w:hAnsi="Cambria" w:cs="Cambria" w:eastAsia="Cambria"/>
          <w:b w:val="0"/>
          <w:i w:val="0"/>
          <w:color w:val="000000"/>
          <w:sz w:val="20"/>
        </w:rPr>
        <w:t>.</w:t>
      </w:r>
    </w:p>
    <w:p>
      <w:pPr>
        <w:pStyle w:val="Kaynaklar"/>
        <w:spacing w:before="120" w:after="0"/>
        <w:ind w:left="283" w:hanging="283"/>
        <w:jc w:val="both"/>
      </w:pPr>
      <w:r>
        <w:rPr>
          <w:rFonts w:ascii="Cambria" w:hAnsi="Cambria" w:cs="Cambria" w:eastAsia="Cambria"/>
          <w:b w:val="0"/>
          <w:i w:val="0"/>
          <w:color w:val="000000"/>
          <w:sz w:val="20"/>
        </w:rPr>
        <w:t xml:space="preserve">Malhotra, P., Vig, L., Shroff, G. &amp; Agarwal, P. (2015). Long short term memory networks for anomaly detection in time series. </w:t>
      </w:r>
      <w:r>
        <w:rPr>
          <w:rFonts w:ascii="Cambria" w:hAnsi="Cambria" w:cs="Cambria" w:eastAsia="Cambria"/>
          <w:b w:val="0"/>
          <w:i/>
          <w:color w:val="000000"/>
          <w:sz w:val="20"/>
        </w:rPr>
        <w:t>Proceedings of the European Symposium on Artificial Neural Networks (ESANN)</w:t>
      </w:r>
      <w:r>
        <w:rPr>
          <w:rFonts w:ascii="Cambria" w:hAnsi="Cambria" w:cs="Cambria" w:eastAsia="Cambria"/>
          <w:b w:val="0"/>
          <w:i w:val="0"/>
          <w:color w:val="000000"/>
          <w:sz w:val="20"/>
        </w:rPr>
        <w:t>, 89–94, Bruges, Belgium.</w:t>
      </w:r>
    </w:p>
    <w:p>
      <w:pPr>
        <w:pStyle w:val="Kaynaklar"/>
        <w:spacing w:before="120" w:after="0"/>
        <w:ind w:left="283" w:hanging="283"/>
        <w:jc w:val="both"/>
      </w:pPr>
      <w:r>
        <w:rPr>
          <w:rFonts w:ascii="Cambria" w:hAnsi="Cambria" w:cs="Cambria" w:eastAsia="Cambria"/>
          <w:b w:val="0"/>
          <w:i w:val="0"/>
          <w:color w:val="000000"/>
          <w:sz w:val="20"/>
        </w:rPr>
        <w:t xml:space="preserve">Park, D., Hoshi, Y. &amp; Kemp, C. C. (2018). A multimodal anomaly detector for robot-assisted feeding using an LSTM-based variational autoencoder. </w:t>
      </w:r>
      <w:r>
        <w:rPr>
          <w:rFonts w:ascii="Cambria" w:hAnsi="Cambria" w:cs="Cambria" w:eastAsia="Cambria"/>
          <w:b w:val="0"/>
          <w:i/>
          <w:color w:val="000000"/>
          <w:sz w:val="20"/>
        </w:rPr>
        <w:t>IEEE Robotics and Automation Letters, 3</w:t>
      </w:r>
      <w:r>
        <w:rPr>
          <w:rFonts w:ascii="Cambria" w:hAnsi="Cambria" w:cs="Cambria" w:eastAsia="Cambria"/>
          <w:b w:val="0"/>
          <w:i w:val="0"/>
          <w:color w:val="000000"/>
          <w:sz w:val="20"/>
        </w:rPr>
        <w:t>(3), 1544–1551.</w:t>
      </w:r>
    </w:p>
    <w:p>
      <w:pPr>
        <w:pStyle w:val="Kaynaklar"/>
        <w:spacing w:before="120" w:after="0"/>
        <w:ind w:left="283" w:hanging="283"/>
        <w:jc w:val="both"/>
      </w:pPr>
      <w:r>
        <w:rPr>
          <w:rFonts w:ascii="Cambria" w:hAnsi="Cambria" w:cs="Cambria" w:eastAsia="Cambria"/>
          <w:b w:val="0"/>
          <w:i w:val="0"/>
          <w:color w:val="000000"/>
          <w:sz w:val="20"/>
        </w:rPr>
        <w:t xml:space="preserve">Savitzky, A. &amp; Golay, M. J. E. (1964). Smoothing and differentiation of data by simplified least squares procedures. </w:t>
      </w:r>
      <w:r>
        <w:rPr>
          <w:rFonts w:ascii="Cambria" w:hAnsi="Cambria" w:cs="Cambria" w:eastAsia="Cambria"/>
          <w:b w:val="0"/>
          <w:i/>
          <w:color w:val="000000"/>
          <w:sz w:val="20"/>
        </w:rPr>
        <w:t>Analytical Chemistry, 36</w:t>
      </w:r>
      <w:r>
        <w:rPr>
          <w:rFonts w:ascii="Cambria" w:hAnsi="Cambria" w:cs="Cambria" w:eastAsia="Cambria"/>
          <w:b w:val="0"/>
          <w:i w:val="0"/>
          <w:color w:val="000000"/>
          <w:sz w:val="20"/>
        </w:rPr>
        <w:t>(8), 1627–1639.</w:t>
      </w:r>
    </w:p>
    <w:p>
      <w:pPr>
        <w:pStyle w:val="Kaynaklar"/>
        <w:spacing w:before="120" w:after="0"/>
        <w:ind w:left="283" w:hanging="283"/>
        <w:jc w:val="both"/>
      </w:pPr>
      <w:r>
        <w:rPr>
          <w:rFonts w:ascii="Cambria" w:hAnsi="Cambria" w:cs="Cambria" w:eastAsia="Cambria"/>
          <w:b w:val="0"/>
          <w:i w:val="0"/>
          <w:color w:val="000000"/>
          <w:sz w:val="20"/>
        </w:rPr>
        <w:t>Yılmaz, C. S., Kahraman, S., Yılmaz, M., Yavuz, H. S. &amp; Yayan, U. (2026). FMU tabanlı kalıntı ayrıştırma ve ikili LSTM özkodlayıcı birleşimi ile işbirlikçi robotlarda anomali tespiti [FMU-based residual decomposition and dual LSTM autoencoder fusion for anomaly detection in collaborative robots]. ⟨KONFERANS ADI VE YERİ — yazarlar tarafından tamamlanacaktır⟩ kurultayında sunulmuş bildiri, Türkiye.</w:t>
      </w:r>
    </w:p>
    <w:p>
      <w:pPr>
        <w:pStyle w:val="Kaynaklar"/>
        <w:spacing w:before="120" w:after="0"/>
        <w:ind w:left="283" w:hanging="283"/>
        <w:jc w:val="both"/>
      </w:pPr>
      <w:r>
        <w:rPr>
          <w:rFonts w:ascii="Cambria" w:hAnsi="Cambria" w:cs="Cambria" w:eastAsia="Cambria"/>
          <w:b w:val="0"/>
          <w:i w:val="0"/>
          <w:color w:val="000000"/>
          <w:sz w:val="20"/>
        </w:rPr>
        <w:t xml:space="preserve">Zhang, T., Chen, Y. &amp; Zou, Y. (2024). Robot collision detection based on external torque observer. </w:t>
      </w:r>
      <w:r>
        <w:rPr>
          <w:rFonts w:ascii="Cambria" w:hAnsi="Cambria" w:cs="Cambria" w:eastAsia="Cambria"/>
          <w:b w:val="0"/>
          <w:i/>
          <w:color w:val="000000"/>
          <w:sz w:val="20"/>
        </w:rPr>
        <w:t>Journal of South China University of Technology, 52</w:t>
      </w:r>
      <w:r>
        <w:rPr>
          <w:rFonts w:ascii="Cambria" w:hAnsi="Cambria" w:cs="Cambria" w:eastAsia="Cambria"/>
          <w:b w:val="0"/>
          <w:i w:val="0"/>
          <w:color w:val="000000"/>
          <w:sz w:val="20"/>
        </w:rPr>
        <w:t>(3), 84–92.</w:t>
      </w:r>
    </w:p>
    <w:p>
      <w:pPr>
        <w:pStyle w:val="Kaynaklar"/>
        <w:spacing w:before="120" w:after="0"/>
        <w:ind w:left="283" w:hanging="283"/>
        <w:jc w:val="both"/>
      </w:pPr>
      <w:r>
        <w:rPr>
          <w:rFonts w:ascii="Cambria" w:hAnsi="Cambria" w:cs="Cambria" w:eastAsia="Cambria"/>
          <w:b w:val="0"/>
          <w:i w:val="0"/>
          <w:color w:val="000000"/>
          <w:sz w:val="20"/>
        </w:rPr>
        <w:t xml:space="preserve">Zhao, W., Queralta, J. P. &amp; Westerlund, T. (2020). Sim-to-real transfer in deep reinforcement learning for robotics: A survey. </w:t>
      </w:r>
      <w:r>
        <w:rPr>
          <w:rFonts w:ascii="Cambria" w:hAnsi="Cambria" w:cs="Cambria" w:eastAsia="Cambria"/>
          <w:b w:val="0"/>
          <w:i/>
          <w:color w:val="000000"/>
          <w:sz w:val="20"/>
        </w:rPr>
        <w:t>2020 IEEE Symposium Series on Computational Intelligence (SSCI)</w:t>
      </w:r>
      <w:r>
        <w:rPr>
          <w:rFonts w:ascii="Cambria" w:hAnsi="Cambria" w:cs="Cambria" w:eastAsia="Cambria"/>
          <w:b w:val="0"/>
          <w:i w:val="0"/>
          <w:color w:val="000000"/>
          <w:sz w:val="20"/>
        </w:rPr>
        <w:t>, 737–744, Canberra, Australia.</w:t>
      </w:r>
    </w:p>
    <w:sectPr w:rsidR="006A6232" w:rsidRPr="006A6232" w:rsidSect="00327F76">
      <w:footerReference w:type="default" r:id="rId25"/>
      <w:type w:val="continuous"/>
      <w:pgSz w:w="11906" w:h="16838" w:code="9"/>
      <w:pgMar w:top="1701" w:right="851" w:bottom="1418" w:left="851" w:header="1134" w:footer="851" w:gutter="0"/>
      <w:cols w:num="2" w:space="709"/>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16C93" w:rsidRDefault="00D16C93" w:rsidP="00C70BE8">
      <w:r>
        <w:separator/>
      </w:r>
    </w:p>
  </w:endnote>
  <w:endnote w:type="continuationSeparator" w:id="0">
    <w:p w:rsidR="00D16C93" w:rsidRDefault="00D16C93" w:rsidP="00C70B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Calibri Light">
    <w:panose1 w:val="020F0302020204030204"/>
    <w:charset w:val="A2"/>
    <w:family w:val="swiss"/>
    <w:pitch w:val="variable"/>
    <w:sig w:usb0="E4002EFF" w:usb1="C0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Cambria Math">
    <w:panose1 w:val="02040503050406030204"/>
    <w:charset w:val="A2"/>
    <w:family w:val="roman"/>
    <w:pitch w:val="variable"/>
    <w:sig w:usb0="E00006FF" w:usb1="420024FF" w:usb2="02000000" w:usb3="00000000" w:csb0="0000019F" w:csb1="00000000"/>
  </w:font>
  <w:font w:name="Arial">
    <w:panose1 w:val="020B0604020202020204"/>
    <w:charset w:val="A2"/>
    <w:family w:val="swiss"/>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508D9" w:rsidRDefault="008508D9" w:rsidP="00B31B99">
    <w:pPr>
      <w:pStyle w:val="AltBilgi"/>
      <w:tabs>
        <w:tab w:val="clear" w:pos="4536"/>
        <w:tab w:val="clear" w:pos="9072"/>
        <w:tab w:val="left" w:pos="3217"/>
      </w:tabs>
    </w:pPr>
    <w:r>
      <w:rPr>
        <w:noProof/>
        <w:lang w:eastAsia="tr-TR"/>
      </w:rPr>
      <mc:AlternateContent>
        <mc:Choice Requires="wps">
          <w:drawing>
            <wp:anchor distT="0" distB="0" distL="114300" distR="114300" simplePos="0" relativeHeight="251659264" behindDoc="0" locked="0" layoutInCell="1" allowOverlap="1" wp14:anchorId="1146A40B" wp14:editId="5E0FFF01">
              <wp:simplePos x="0" y="0"/>
              <wp:positionH relativeFrom="column">
                <wp:posOffset>3768</wp:posOffset>
              </wp:positionH>
              <wp:positionV relativeFrom="paragraph">
                <wp:posOffset>32997</wp:posOffset>
              </wp:positionV>
              <wp:extent cx="6512996" cy="678787"/>
              <wp:effectExtent l="0" t="0" r="2540" b="7620"/>
              <wp:wrapNone/>
              <wp:docPr id="7" name="Metin Kutusu 7"/>
              <wp:cNvGraphicFramePr/>
              <a:graphic xmlns:a="http://schemas.openxmlformats.org/drawingml/2006/main">
                <a:graphicData uri="http://schemas.microsoft.com/office/word/2010/wordprocessingShape">
                  <wps:wsp>
                    <wps:cNvSpPr txBox="1"/>
                    <wps:spPr>
                      <a:xfrm>
                        <a:off x="0" y="0"/>
                        <a:ext cx="6512996" cy="678787"/>
                      </a:xfrm>
                      <a:prstGeom prst="rect">
                        <a:avLst/>
                      </a:prstGeom>
                      <a:solidFill>
                        <a:schemeClr val="lt1"/>
                      </a:solidFill>
                      <a:ln w="6350">
                        <a:noFill/>
                      </a:ln>
                    </wps:spPr>
                    <wps:txbx>
                      <w:txbxContent>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410"/>
                            <w:gridCol w:w="7796"/>
                          </w:tblGrid>
                          <w:tr w:rsidR="008508D9" w:rsidTr="002A4FE0">
                            <w:tc>
                              <w:tcPr>
                                <w:tcW w:w="2410" w:type="dxa"/>
                                <w:vAlign w:val="center"/>
                              </w:tcPr>
                              <w:p w:rsidR="008508D9" w:rsidRDefault="008508D9" w:rsidP="00B31B99">
                                <w:r>
                                  <w:rPr>
                                    <w:noProof/>
                                    <w:lang w:eastAsia="tr-TR"/>
                                  </w:rPr>
                                  <w:drawing>
                                    <wp:inline distT="0" distB="0" distL="0" distR="0" wp14:anchorId="721FC1A1" wp14:editId="475436B9">
                                      <wp:extent cx="1400175" cy="493395"/>
                                      <wp:effectExtent l="0" t="0" r="9525" b="1905"/>
                                      <wp:docPr id="12" name="Resim 12" descr="Creative Commons Licenses"/>
                                      <wp:cNvGraphicFramePr/>
                                      <a:graphic xmlns:a="http://schemas.openxmlformats.org/drawingml/2006/main">
                                        <a:graphicData uri="http://schemas.openxmlformats.org/drawingml/2006/picture">
                                          <pic:pic xmlns:pic="http://schemas.openxmlformats.org/drawingml/2006/picture">
                                            <pic:nvPicPr>
                                              <pic:cNvPr id="1" name="Resim 1" descr="Creative Commons Licenses"/>
                                              <pic:cNvPicPr/>
                                            </pic:nvPicPr>
                                            <pic:blipFill rotWithShape="1">
                                              <a:blip r:embed="rId1" cstate="print">
                                                <a:extLst>
                                                  <a:ext uri="{28A0092B-C50C-407E-A947-70E740481C1C}">
                                                    <a14:useLocalDpi xmlns:a14="http://schemas.microsoft.com/office/drawing/2010/main" val="0"/>
                                                  </a:ext>
                                                </a:extLst>
                                              </a:blip>
                                              <a:srcRect l="11753" t="25632" r="11347" b="25529"/>
                                              <a:stretch/>
                                            </pic:blipFill>
                                            <pic:spPr bwMode="auto">
                                              <a:xfrm>
                                                <a:off x="0" y="0"/>
                                                <a:ext cx="1400175" cy="49339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796" w:type="dxa"/>
                                <w:vAlign w:val="center"/>
                              </w:tcPr>
                              <w:sdt>
                                <w:sdtPr>
                                  <w:id w:val="1989205230"/>
                                  <w:docPartObj>
                                    <w:docPartGallery w:val="Page Numbers (Bottom of Page)"/>
                                    <w:docPartUnique/>
                                  </w:docPartObj>
                                </w:sdtPr>
                                <w:sdtEndPr/>
                                <w:sdtContent>
                                  <w:p w:rsidR="008508D9" w:rsidRPr="001B08B4" w:rsidRDefault="008508D9" w:rsidP="002A4FE0">
                                    <w:pPr>
                                      <w:contextualSpacing w:val="0"/>
                                      <w:jc w:val="both"/>
                                      <w:rPr>
                                        <w:b/>
                                        <w:noProof/>
                                        <w:sz w:val="18"/>
                                        <w:szCs w:val="20"/>
                                      </w:rPr>
                                    </w:pPr>
                                    <w:r w:rsidRPr="001B08B4">
                                      <w:rPr>
                                        <w:sz w:val="18"/>
                                        <w:szCs w:val="20"/>
                                      </w:rPr>
                                      <w:t xml:space="preserve">Bu eser, Creative </w:t>
                                    </w:r>
                                    <w:r w:rsidRPr="001B08B4">
                                      <w:rPr>
                                        <w:noProof/>
                                        <w:sz w:val="18"/>
                                        <w:szCs w:val="20"/>
                                      </w:rPr>
                                      <w:t>Commons Attribution License (</w:t>
                                    </w:r>
                                    <w:hyperlink r:id="rId2" w:history="1">
                                      <w:r w:rsidRPr="001B08B4">
                                        <w:rPr>
                                          <w:rStyle w:val="Kpr"/>
                                          <w:noProof/>
                                          <w:sz w:val="18"/>
                                          <w:szCs w:val="20"/>
                                        </w:rPr>
                                        <w:t>http://creativecommons.org/licenses/by/4.0/</w:t>
                                      </w:r>
                                    </w:hyperlink>
                                    <w:r w:rsidRPr="001B08B4">
                                      <w:rPr>
                                        <w:noProof/>
                                        <w:sz w:val="18"/>
                                        <w:szCs w:val="20"/>
                                      </w:rPr>
                                      <w:t>) hükümlerine göre açık erişimli bir makaledir.</w:t>
                                    </w:r>
                                  </w:p>
                                  <w:p w:rsidR="008508D9" w:rsidRDefault="008508D9" w:rsidP="002A4FE0">
                                    <w:pPr>
                                      <w:pStyle w:val="AltBilgi"/>
                                      <w:tabs>
                                        <w:tab w:val="left" w:pos="3217"/>
                                      </w:tabs>
                                      <w:jc w:val="both"/>
                                    </w:pPr>
                                    <w:r w:rsidRPr="001B08B4">
                                      <w:rPr>
                                        <w:noProof/>
                                        <w:sz w:val="18"/>
                                        <w:szCs w:val="20"/>
                                      </w:rPr>
                                      <w:t>This is an open access article under the terms of the Creative Commons Attribution License (</w:t>
                                    </w:r>
                                    <w:hyperlink r:id="rId3" w:history="1">
                                      <w:r w:rsidRPr="001B08B4">
                                        <w:rPr>
                                          <w:rStyle w:val="Kpr"/>
                                          <w:noProof/>
                                          <w:sz w:val="18"/>
                                          <w:szCs w:val="20"/>
                                        </w:rPr>
                                        <w:t>http://creativecommons.org/licenses/by/4.0/</w:t>
                                      </w:r>
                                    </w:hyperlink>
                                    <w:r w:rsidRPr="001B08B4">
                                      <w:rPr>
                                        <w:noProof/>
                                        <w:sz w:val="18"/>
                                        <w:szCs w:val="20"/>
                                      </w:rPr>
                                      <w:t>).</w:t>
                                    </w:r>
                                  </w:p>
                                </w:sdtContent>
                              </w:sdt>
                            </w:tc>
                          </w:tr>
                        </w:tbl>
                        <w:p w:rsidR="008508D9" w:rsidRDefault="008508D9"/>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146A40B" id="_x0000_t202" coordsize="21600,21600" o:spt="202" path="m,l,21600r21600,l21600,xe">
              <v:stroke joinstyle="miter"/>
              <v:path gradientshapeok="t" o:connecttype="rect"/>
            </v:shapetype>
            <v:shape id="Metin Kutusu 7" o:spid="_x0000_s1026" type="#_x0000_t202" style="position:absolute;left:0;text-align:left;margin-left:.3pt;margin-top:2.6pt;width:512.85pt;height:53.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" fillcolor="white [3201]" stroked="f" strokeweight=".5pt">
              <v:textbox inset="0,0,0,0">
                <w:txbxContent>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410"/>
                      <w:gridCol w:w="7796"/>
                    </w:tblGrid>
                    <w:tr w:rsidR="008508D9" w:rsidTr="002A4FE0">
                      <w:tc>
                        <w:tcPr>
                          <w:tcW w:w="2410" w:type="dxa"/>
                          <w:vAlign w:val="center"/>
                        </w:tcPr>
                        <w:p w:rsidR="008508D9" w:rsidRDefault="008508D9" w:rsidP="00B31B99">
                          <w:r>
                            <w:rPr>
                              <w:noProof/>
                              <w:lang w:eastAsia="tr-TR"/>
                            </w:rPr>
                            <w:drawing>
                              <wp:inline distT="0" distB="0" distL="0" distR="0" wp14:anchorId="721FC1A1" wp14:editId="475436B9">
                                <wp:extent cx="1400175" cy="493395"/>
                                <wp:effectExtent l="0" t="0" r="9525" b="1905"/>
                                <wp:docPr id="12" name="Resim 12" descr="Creative Commons Licenses"/>
                                <wp:cNvGraphicFramePr/>
                                <a:graphic xmlns:a="http://schemas.openxmlformats.org/drawingml/2006/main">
                                  <a:graphicData uri="http://schemas.openxmlformats.org/drawingml/2006/picture">
                                    <pic:pic xmlns:pic="http://schemas.openxmlformats.org/drawingml/2006/picture">
                                      <pic:nvPicPr>
                                        <pic:cNvPr id="1" name="Resim 1" descr="Creative Commons Licenses"/>
                                        <pic:cNvPicPr/>
                                      </pic:nvPicPr>
                                      <pic:blipFill rotWithShape="1">
                                        <a:blip r:embed="rId1" cstate="print">
                                          <a:extLst>
                                            <a:ext uri="{28A0092B-C50C-407E-A947-70E740481C1C}">
                                              <a14:useLocalDpi xmlns:a14="http://schemas.microsoft.com/office/drawing/2010/main" val="0"/>
                                            </a:ext>
                                          </a:extLst>
                                        </a:blip>
                                        <a:srcRect l="11753" t="25632" r="11347" b="25529"/>
                                        <a:stretch/>
                                      </pic:blipFill>
                                      <pic:spPr bwMode="auto">
                                        <a:xfrm>
                                          <a:off x="0" y="0"/>
                                          <a:ext cx="1400175" cy="49339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796" w:type="dxa"/>
                          <w:vAlign w:val="center"/>
                        </w:tcPr>
                        <w:sdt>
                          <w:sdtPr>
                            <w:id w:val="1989205230"/>
                            <w:docPartObj>
                              <w:docPartGallery w:val="Page Numbers (Bottom of Page)"/>
                              <w:docPartUnique/>
                            </w:docPartObj>
                          </w:sdtPr>
                          <w:sdtEndPr/>
                          <w:sdtContent>
                            <w:p w:rsidR="008508D9" w:rsidRPr="001B08B4" w:rsidRDefault="008508D9" w:rsidP="002A4FE0">
                              <w:pPr>
                                <w:contextualSpacing w:val="0"/>
                                <w:jc w:val="both"/>
                                <w:rPr>
                                  <w:b/>
                                  <w:noProof/>
                                  <w:sz w:val="18"/>
                                  <w:szCs w:val="20"/>
                                </w:rPr>
                              </w:pPr>
                              <w:r w:rsidRPr="001B08B4">
                                <w:rPr>
                                  <w:sz w:val="18"/>
                                  <w:szCs w:val="20"/>
                                </w:rPr>
                                <w:t xml:space="preserve">Bu eser, Creative </w:t>
                              </w:r>
                              <w:r w:rsidRPr="001B08B4">
                                <w:rPr>
                                  <w:noProof/>
                                  <w:sz w:val="18"/>
                                  <w:szCs w:val="20"/>
                                </w:rPr>
                                <w:t>Commons Attribution License (</w:t>
                              </w:r>
                              <w:hyperlink r:id="rId4" w:history="1">
                                <w:r w:rsidRPr="001B08B4">
                                  <w:rPr>
                                    <w:rStyle w:val="Kpr"/>
                                    <w:noProof/>
                                    <w:sz w:val="18"/>
                                    <w:szCs w:val="20"/>
                                  </w:rPr>
                                  <w:t>http://creativecommons.org/licenses/by/4.0/</w:t>
                                </w:r>
                              </w:hyperlink>
                              <w:r w:rsidRPr="001B08B4">
                                <w:rPr>
                                  <w:noProof/>
                                  <w:sz w:val="18"/>
                                  <w:szCs w:val="20"/>
                                </w:rPr>
                                <w:t>) hükümlerine göre açık erişimli bir makaledir.</w:t>
                              </w:r>
                            </w:p>
                            <w:p w:rsidR="008508D9" w:rsidRDefault="008508D9" w:rsidP="002A4FE0">
                              <w:pPr>
                                <w:pStyle w:val="AltBilgi"/>
                                <w:tabs>
                                  <w:tab w:val="left" w:pos="3217"/>
                                </w:tabs>
                                <w:jc w:val="both"/>
                              </w:pPr>
                              <w:r w:rsidRPr="001B08B4">
                                <w:rPr>
                                  <w:noProof/>
                                  <w:sz w:val="18"/>
                                  <w:szCs w:val="20"/>
                                </w:rPr>
                                <w:t>This is an open access article under the terms of the Creative Commons Attribution License (</w:t>
                              </w:r>
                              <w:hyperlink r:id="rId5" w:history="1">
                                <w:r w:rsidRPr="001B08B4">
                                  <w:rPr>
                                    <w:rStyle w:val="Kpr"/>
                                    <w:noProof/>
                                    <w:sz w:val="18"/>
                                    <w:szCs w:val="20"/>
                                  </w:rPr>
                                  <w:t>http://creativecommons.org/licenses/by/4.0/</w:t>
                                </w:r>
                              </w:hyperlink>
                              <w:r w:rsidRPr="001B08B4">
                                <w:rPr>
                                  <w:noProof/>
                                  <w:sz w:val="18"/>
                                  <w:szCs w:val="20"/>
                                </w:rPr>
                                <w:t>).</w:t>
                              </w:r>
                            </w:p>
                          </w:sdtContent>
                        </w:sdt>
                      </w:tc>
                    </w:tr>
                  </w:tbl>
                  <w:p w:rsidR="008508D9" w:rsidRDefault="008508D9"/>
                </w:txbxContent>
              </v:textbox>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02880506"/>
      <w:docPartObj>
        <w:docPartGallery w:val="Page Numbers (Bottom of Page)"/>
        <w:docPartUnique/>
      </w:docPartObj>
    </w:sdtPr>
    <w:sdtEndPr/>
    <w:sdtContent>
      <w:p w:rsidR="008508D9" w:rsidRDefault="008508D9" w:rsidP="008356F4">
        <w:pPr>
          <w:contextualSpacing w:val="0"/>
          <w:jc w:val="right"/>
        </w:pPr>
        <w:r>
          <w:fldChar w:fldCharType="begin"/>
        </w:r>
        <w:r>
          <w:instrText>PAGE   \* MERGEFORMAT</w:instrText>
        </w:r>
        <w:r>
          <w:fldChar w:fldCharType="separate"/>
        </w:r>
        <w:r w:rsidR="00327F76">
          <w:rPr>
            <w:noProof/>
          </w:rPr>
          <w:t>3</w:t>
        </w:r>
        <w:r>
          <w:fldChar w:fldCharType="end"/>
        </w:r>
      </w:p>
      <w:p w:rsidR="008508D9" w:rsidRDefault="00D16C93" w:rsidP="005A665B">
        <w:pPr>
          <w:pStyle w:val="AltBilgi"/>
          <w:jc w:val="right"/>
        </w:pP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16C93" w:rsidRDefault="00D16C93" w:rsidP="00C70BE8">
      <w:r>
        <w:separator/>
      </w:r>
    </w:p>
  </w:footnote>
  <w:footnote w:type="continuationSeparator" w:id="0">
    <w:p w:rsidR="00D16C93" w:rsidRDefault="00D16C93" w:rsidP="00C70BE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508D9" w:rsidRPr="00C70BE8" w:rsidRDefault="008508D9" w:rsidP="000B51EB">
    <w:pPr>
      <w:pStyle w:val="stBilgi"/>
      <w:tabs>
        <w:tab w:val="clear" w:pos="9072"/>
        <w:tab w:val="right" w:pos="9781"/>
      </w:tabs>
      <w:spacing w:after="240"/>
      <w:rPr>
        <w:szCs w:val="20"/>
      </w:rPr>
    </w:pPr>
    <w:r w:rsidRPr="00C70BE8">
      <w:t>ESOGÜ Müh</w:t>
    </w:r>
    <w:r>
      <w:t>.</w:t>
    </w:r>
    <w:r w:rsidRPr="00C70BE8">
      <w:t xml:space="preserve"> Mim</w:t>
    </w:r>
    <w:r>
      <w:t>.</w:t>
    </w:r>
    <w:r w:rsidRPr="00C70BE8">
      <w:t xml:space="preserve"> Fak</w:t>
    </w:r>
    <w:r>
      <w:t>.</w:t>
    </w:r>
    <w:r w:rsidRPr="00C70BE8">
      <w:t xml:space="preserve"> Derg</w:t>
    </w:r>
    <w:r>
      <w:t>isi</w:t>
    </w:r>
    <w:r w:rsidRPr="00C70BE8">
      <w:t xml:space="preserve"> 202</w:t>
    </w:r>
    <w:r>
      <w:t>3</w:t>
    </w:r>
    <w:r w:rsidRPr="00C70BE8">
      <w:t xml:space="preserve">, </w:t>
    </w:r>
    <w:r>
      <w:t>31</w:t>
    </w:r>
    <w:r w:rsidRPr="00C70BE8">
      <w:t xml:space="preserve">(1), </w:t>
    </w:r>
    <w:r w:rsidR="008F476F">
      <w:t>xx</w:t>
    </w:r>
    <w:r w:rsidRPr="00C70BE8">
      <w:t>-xx</w:t>
    </w:r>
    <w:r w:rsidRPr="00C70BE8">
      <w:tab/>
    </w:r>
    <w:r w:rsidRPr="00C70BE8">
      <w:tab/>
    </w:r>
    <w:r w:rsidRPr="00C70BE8">
      <w:rPr>
        <w:lang w:val="en-US"/>
      </w:rPr>
      <w:t>J ESOGU Eng</w:t>
    </w:r>
    <w:r>
      <w:rPr>
        <w:lang w:val="en-US"/>
      </w:rPr>
      <w:t>.</w:t>
    </w:r>
    <w:r w:rsidRPr="00C70BE8">
      <w:rPr>
        <w:lang w:val="en-US"/>
      </w:rPr>
      <w:t xml:space="preserve"> Arch</w:t>
    </w:r>
    <w:r>
      <w:rPr>
        <w:lang w:val="en-US"/>
      </w:rPr>
      <w:t>.</w:t>
    </w:r>
    <w:r w:rsidRPr="00C70BE8">
      <w:rPr>
        <w:lang w:val="en-US"/>
      </w:rPr>
      <w:t xml:space="preserve"> Fac.</w:t>
    </w:r>
    <w:r w:rsidRPr="00C70BE8">
      <w:t xml:space="preserve"> 202</w:t>
    </w:r>
    <w:r>
      <w:t>3</w:t>
    </w:r>
    <w:r w:rsidRPr="00C70BE8">
      <w:t xml:space="preserve">, </w:t>
    </w:r>
    <w:r>
      <w:t>31</w:t>
    </w:r>
    <w:r w:rsidRPr="00C70BE8">
      <w:t>(1), xx-xx</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508D9" w:rsidRPr="001115F8" w:rsidRDefault="008508D9" w:rsidP="00D2632C">
    <w:pPr>
      <w:pStyle w:val="stBilgi"/>
      <w:tabs>
        <w:tab w:val="clear" w:pos="9072"/>
        <w:tab w:val="right" w:pos="9781"/>
      </w:tabs>
      <w:spacing w:after="240"/>
      <w:rPr>
        <w:szCs w:val="2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67B2864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4D2CF02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9B629CE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D5DCE73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88EC33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2C42BF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520C9C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BF068B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A50762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B24A06A"/>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8"/>
  </w:num>
  <w:num w:numId="3">
    <w:abstractNumId w:val="7"/>
  </w:num>
  <w:num w:numId="4">
    <w:abstractNumId w:val="6"/>
  </w:num>
  <w:num w:numId="5">
    <w:abstractNumId w:val="5"/>
  </w:num>
  <w:num w:numId="6">
    <w:abstractNumId w:val="4"/>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0BE8"/>
    <w:rsid w:val="0005285E"/>
    <w:rsid w:val="00074A21"/>
    <w:rsid w:val="000B51EB"/>
    <w:rsid w:val="000C01FF"/>
    <w:rsid w:val="000D33FD"/>
    <w:rsid w:val="001115F8"/>
    <w:rsid w:val="001524E0"/>
    <w:rsid w:val="001708AF"/>
    <w:rsid w:val="0018467B"/>
    <w:rsid w:val="001A5A63"/>
    <w:rsid w:val="001B4DB6"/>
    <w:rsid w:val="001C1749"/>
    <w:rsid w:val="001D192A"/>
    <w:rsid w:val="001F0281"/>
    <w:rsid w:val="001F477A"/>
    <w:rsid w:val="0021557F"/>
    <w:rsid w:val="002176A7"/>
    <w:rsid w:val="0024716A"/>
    <w:rsid w:val="0029381A"/>
    <w:rsid w:val="002A4FE0"/>
    <w:rsid w:val="002E3A95"/>
    <w:rsid w:val="002E4050"/>
    <w:rsid w:val="003177E3"/>
    <w:rsid w:val="00327F76"/>
    <w:rsid w:val="00346321"/>
    <w:rsid w:val="00364C00"/>
    <w:rsid w:val="00373440"/>
    <w:rsid w:val="003F5788"/>
    <w:rsid w:val="004053A9"/>
    <w:rsid w:val="00426FD5"/>
    <w:rsid w:val="00470109"/>
    <w:rsid w:val="004822F1"/>
    <w:rsid w:val="004A04CF"/>
    <w:rsid w:val="004C0BDD"/>
    <w:rsid w:val="004D5766"/>
    <w:rsid w:val="00511196"/>
    <w:rsid w:val="0054363D"/>
    <w:rsid w:val="00547F3F"/>
    <w:rsid w:val="00560301"/>
    <w:rsid w:val="00596A9D"/>
    <w:rsid w:val="005A37CC"/>
    <w:rsid w:val="005A665B"/>
    <w:rsid w:val="005F1F42"/>
    <w:rsid w:val="00625F8F"/>
    <w:rsid w:val="006349B2"/>
    <w:rsid w:val="006A128A"/>
    <w:rsid w:val="006A6232"/>
    <w:rsid w:val="006C3759"/>
    <w:rsid w:val="006D2E68"/>
    <w:rsid w:val="006F7841"/>
    <w:rsid w:val="0071687A"/>
    <w:rsid w:val="00737114"/>
    <w:rsid w:val="007503C1"/>
    <w:rsid w:val="00787882"/>
    <w:rsid w:val="007A72E9"/>
    <w:rsid w:val="00810D2B"/>
    <w:rsid w:val="008160FA"/>
    <w:rsid w:val="008356F4"/>
    <w:rsid w:val="00837AC0"/>
    <w:rsid w:val="008508D9"/>
    <w:rsid w:val="008A20AC"/>
    <w:rsid w:val="008A5472"/>
    <w:rsid w:val="008F476F"/>
    <w:rsid w:val="009B28B5"/>
    <w:rsid w:val="00A61E10"/>
    <w:rsid w:val="00AC0298"/>
    <w:rsid w:val="00AC2205"/>
    <w:rsid w:val="00AD1CFF"/>
    <w:rsid w:val="00B00525"/>
    <w:rsid w:val="00B0339C"/>
    <w:rsid w:val="00B31B99"/>
    <w:rsid w:val="00BF277A"/>
    <w:rsid w:val="00C1067C"/>
    <w:rsid w:val="00C2767F"/>
    <w:rsid w:val="00C64948"/>
    <w:rsid w:val="00C70BE8"/>
    <w:rsid w:val="00C95777"/>
    <w:rsid w:val="00CC59AF"/>
    <w:rsid w:val="00D16C93"/>
    <w:rsid w:val="00D25B85"/>
    <w:rsid w:val="00D2632C"/>
    <w:rsid w:val="00D60C61"/>
    <w:rsid w:val="00D83FA7"/>
    <w:rsid w:val="00DC3F82"/>
    <w:rsid w:val="00DE4CC1"/>
    <w:rsid w:val="00E64386"/>
    <w:rsid w:val="00EB2BF6"/>
    <w:rsid w:val="00EC2F99"/>
    <w:rsid w:val="00ED1610"/>
    <w:rsid w:val="00F20599"/>
    <w:rsid w:val="00F63973"/>
    <w:rsid w:val="00FE652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95B1DB"/>
  <w15:docId w15:val="{C0A3C1AF-3613-4ABB-ADD6-015C5706E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4"/>
        <w:szCs w:val="24"/>
        <w:lang w:val="tr-TR" w:eastAsia="en-US" w:bidi="ar-SA"/>
      </w:rPr>
    </w:rPrDefault>
    <w:pPrDefault>
      <w:pPr>
        <w:spacing w:line="360" w:lineRule="auto"/>
        <w:jc w:val="both"/>
      </w:pPr>
    </w:pPrDefault>
  </w:docDefaults>
  <w:latentStyles w:defLockedState="0" w:defUIPriority="99" w:defSemiHidden="0" w:defUnhideWhenUsed="0" w:defQFormat="0" w:count="371">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99"/>
    <w:unhideWhenUsed/>
    <w:qFormat/>
    <w:rsid w:val="001524E0"/>
    <w:pPr>
      <w:spacing w:line="240" w:lineRule="auto"/>
      <w:contextualSpacing/>
    </w:pPr>
    <w:rPr>
      <w:rFonts w:ascii="Cambria" w:hAnsi="Cambria"/>
      <w:color w:val="000000" w:themeColor="text1"/>
      <w:sz w:val="20"/>
    </w:rPr>
  </w:style>
  <w:style w:type="paragraph" w:styleId="Balk1">
    <w:name w:val="heading 1"/>
    <w:aliases w:val="Makale Başlığı 2"/>
    <w:basedOn w:val="Normal"/>
    <w:next w:val="Normal"/>
    <w:link w:val="Balk1Char"/>
    <w:uiPriority w:val="99"/>
    <w:unhideWhenUsed/>
    <w:rsid w:val="00EB2BF6"/>
    <w:pPr>
      <w:keepNext/>
      <w:keepLines/>
      <w:jc w:val="center"/>
      <w:outlineLvl w:val="0"/>
    </w:pPr>
    <w:rPr>
      <w:rFonts w:eastAsiaTheme="majorEastAsia" w:cstheme="majorBidi"/>
      <w:b/>
      <w:color w:val="auto"/>
      <w:sz w:val="24"/>
      <w:szCs w:val="32"/>
    </w:rPr>
  </w:style>
  <w:style w:type="paragraph" w:styleId="Balk2">
    <w:name w:val="heading 2"/>
    <w:basedOn w:val="Normal"/>
    <w:next w:val="Normal"/>
    <w:link w:val="Balk2Char"/>
    <w:uiPriority w:val="99"/>
    <w:unhideWhenUsed/>
    <w:rsid w:val="006D2E68"/>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Balk3">
    <w:name w:val="heading 3"/>
    <w:basedOn w:val="Normal"/>
    <w:next w:val="Normal"/>
    <w:link w:val="Balk3Char"/>
    <w:uiPriority w:val="99"/>
    <w:unhideWhenUsed/>
    <w:rsid w:val="006D2E68"/>
    <w:pPr>
      <w:keepNext/>
      <w:keepLines/>
      <w:spacing w:before="40"/>
      <w:outlineLvl w:val="2"/>
    </w:pPr>
    <w:rPr>
      <w:rFonts w:asciiTheme="majorHAnsi" w:eastAsiaTheme="majorEastAsia" w:hAnsiTheme="majorHAnsi" w:cstheme="majorBidi"/>
      <w:color w:val="1F4D78" w:themeColor="accent1" w:themeShade="7F"/>
      <w:sz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C70BE8"/>
    <w:pPr>
      <w:tabs>
        <w:tab w:val="center" w:pos="4536"/>
        <w:tab w:val="right" w:pos="9072"/>
      </w:tabs>
    </w:pPr>
  </w:style>
  <w:style w:type="character" w:customStyle="1" w:styleId="stBilgiChar">
    <w:name w:val="Üst Bilgi Char"/>
    <w:basedOn w:val="VarsaylanParagrafYazTipi"/>
    <w:link w:val="stBilgi"/>
    <w:uiPriority w:val="99"/>
    <w:rsid w:val="00560301"/>
    <w:rPr>
      <w:rFonts w:ascii="Cambria" w:hAnsi="Cambria"/>
      <w:color w:val="000000" w:themeColor="text1"/>
      <w:sz w:val="20"/>
    </w:rPr>
  </w:style>
  <w:style w:type="paragraph" w:styleId="AltBilgi">
    <w:name w:val="footer"/>
    <w:basedOn w:val="Normal"/>
    <w:link w:val="AltBilgiChar"/>
    <w:uiPriority w:val="99"/>
    <w:unhideWhenUsed/>
    <w:rsid w:val="00C70BE8"/>
    <w:pPr>
      <w:tabs>
        <w:tab w:val="center" w:pos="4536"/>
        <w:tab w:val="right" w:pos="9072"/>
      </w:tabs>
    </w:pPr>
  </w:style>
  <w:style w:type="character" w:customStyle="1" w:styleId="AltBilgiChar">
    <w:name w:val="Alt Bilgi Char"/>
    <w:basedOn w:val="VarsaylanParagrafYazTipi"/>
    <w:link w:val="AltBilgi"/>
    <w:uiPriority w:val="99"/>
    <w:rsid w:val="00560301"/>
    <w:rPr>
      <w:rFonts w:ascii="Cambria" w:hAnsi="Cambria"/>
      <w:color w:val="000000" w:themeColor="text1"/>
      <w:sz w:val="20"/>
    </w:rPr>
  </w:style>
  <w:style w:type="paragraph" w:customStyle="1" w:styleId="YazarAd">
    <w:name w:val="Yazar Adı"/>
    <w:basedOn w:val="Normal"/>
    <w:next w:val="Normal"/>
    <w:link w:val="YazarAdChar"/>
    <w:uiPriority w:val="3"/>
    <w:qFormat/>
    <w:rsid w:val="001F0281"/>
    <w:pPr>
      <w:jc w:val="center"/>
    </w:pPr>
  </w:style>
  <w:style w:type="character" w:customStyle="1" w:styleId="Balk1Char">
    <w:name w:val="Başlık 1 Char"/>
    <w:aliases w:val="Makale Başlığı 2 Char"/>
    <w:basedOn w:val="VarsaylanParagrafYazTipi"/>
    <w:link w:val="Balk1"/>
    <w:uiPriority w:val="99"/>
    <w:rsid w:val="00074A21"/>
    <w:rPr>
      <w:rFonts w:ascii="Cambria" w:eastAsiaTheme="majorEastAsia" w:hAnsi="Cambria" w:cstheme="majorBidi"/>
      <w:b/>
      <w:szCs w:val="32"/>
    </w:rPr>
  </w:style>
  <w:style w:type="character" w:styleId="AklamaBavurusu">
    <w:name w:val="annotation reference"/>
    <w:basedOn w:val="VarsaylanParagrafYazTipi"/>
    <w:uiPriority w:val="99"/>
    <w:semiHidden/>
    <w:unhideWhenUsed/>
    <w:rsid w:val="001F0281"/>
    <w:rPr>
      <w:sz w:val="16"/>
      <w:szCs w:val="16"/>
    </w:rPr>
  </w:style>
  <w:style w:type="character" w:customStyle="1" w:styleId="YazarAdChar">
    <w:name w:val="Yazar Adı Char"/>
    <w:basedOn w:val="VarsaylanParagrafYazTipi"/>
    <w:link w:val="YazarAd"/>
    <w:uiPriority w:val="3"/>
    <w:rsid w:val="001524E0"/>
    <w:rPr>
      <w:rFonts w:ascii="Cambria" w:hAnsi="Cambria"/>
      <w:color w:val="000000" w:themeColor="text1"/>
      <w:sz w:val="20"/>
    </w:rPr>
  </w:style>
  <w:style w:type="paragraph" w:styleId="AklamaMetni">
    <w:name w:val="annotation text"/>
    <w:basedOn w:val="Normal"/>
    <w:link w:val="AklamaMetniChar"/>
    <w:uiPriority w:val="99"/>
    <w:semiHidden/>
    <w:unhideWhenUsed/>
    <w:rsid w:val="001F0281"/>
    <w:rPr>
      <w:szCs w:val="20"/>
    </w:rPr>
  </w:style>
  <w:style w:type="character" w:customStyle="1" w:styleId="AklamaMetniChar">
    <w:name w:val="Açıklama Metni Char"/>
    <w:basedOn w:val="VarsaylanParagrafYazTipi"/>
    <w:link w:val="AklamaMetni"/>
    <w:uiPriority w:val="99"/>
    <w:semiHidden/>
    <w:rsid w:val="001F0281"/>
    <w:rPr>
      <w:rFonts w:ascii="Cambria" w:hAnsi="Cambria"/>
      <w:color w:val="000000" w:themeColor="text1"/>
      <w:sz w:val="20"/>
      <w:szCs w:val="20"/>
    </w:rPr>
  </w:style>
  <w:style w:type="character" w:styleId="Kpr">
    <w:name w:val="Hyperlink"/>
    <w:basedOn w:val="VarsaylanParagrafYazTipi"/>
    <w:uiPriority w:val="99"/>
    <w:unhideWhenUsed/>
    <w:rsid w:val="00EC2F99"/>
    <w:rPr>
      <w:color w:val="0563C1" w:themeColor="hyperlink"/>
      <w:u w:val="single"/>
    </w:rPr>
  </w:style>
  <w:style w:type="table" w:styleId="TabloKlavuzu">
    <w:name w:val="Table Grid"/>
    <w:basedOn w:val="NormalTablo"/>
    <w:uiPriority w:val="59"/>
    <w:rsid w:val="00AD1CFF"/>
    <w:pPr>
      <w:spacing w:line="240" w:lineRule="auto"/>
      <w:jc w:val="left"/>
    </w:pPr>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afifVurgulama">
    <w:name w:val="Subtle Emphasis"/>
    <w:basedOn w:val="VarsaylanParagrafYazTipi"/>
    <w:uiPriority w:val="99"/>
    <w:unhideWhenUsed/>
    <w:rsid w:val="005F1F42"/>
  </w:style>
  <w:style w:type="paragraph" w:customStyle="1" w:styleId="zet">
    <w:name w:val="Özet"/>
    <w:basedOn w:val="Normal"/>
    <w:uiPriority w:val="2"/>
    <w:qFormat/>
    <w:rsid w:val="005F1F42"/>
    <w:rPr>
      <w:rFonts w:eastAsia="Calibri"/>
      <w:i/>
      <w:szCs w:val="22"/>
    </w:rPr>
  </w:style>
  <w:style w:type="paragraph" w:styleId="DipnotMetni">
    <w:name w:val="footnote text"/>
    <w:basedOn w:val="Normal"/>
    <w:next w:val="Normal"/>
    <w:link w:val="DipnotMetniChar"/>
    <w:uiPriority w:val="99"/>
    <w:semiHidden/>
    <w:unhideWhenUsed/>
    <w:rsid w:val="00CC59AF"/>
    <w:rPr>
      <w:szCs w:val="20"/>
    </w:rPr>
  </w:style>
  <w:style w:type="character" w:customStyle="1" w:styleId="Balk2Char">
    <w:name w:val="Başlık 2 Char"/>
    <w:basedOn w:val="VarsaylanParagrafYazTipi"/>
    <w:link w:val="Balk2"/>
    <w:uiPriority w:val="99"/>
    <w:rsid w:val="00560301"/>
    <w:rPr>
      <w:rFonts w:asciiTheme="majorHAnsi" w:eastAsiaTheme="majorEastAsia" w:hAnsiTheme="majorHAnsi" w:cstheme="majorBidi"/>
      <w:color w:val="2E74B5" w:themeColor="accent1" w:themeShade="BF"/>
      <w:sz w:val="26"/>
      <w:szCs w:val="26"/>
    </w:rPr>
  </w:style>
  <w:style w:type="character" w:customStyle="1" w:styleId="DipnotMetniChar">
    <w:name w:val="Dipnot Metni Char"/>
    <w:basedOn w:val="VarsaylanParagrafYazTipi"/>
    <w:link w:val="DipnotMetni"/>
    <w:uiPriority w:val="99"/>
    <w:semiHidden/>
    <w:rsid w:val="00CC59AF"/>
    <w:rPr>
      <w:rFonts w:ascii="Cambria" w:hAnsi="Cambria"/>
      <w:color w:val="000000" w:themeColor="text1"/>
      <w:sz w:val="20"/>
      <w:szCs w:val="20"/>
    </w:rPr>
  </w:style>
  <w:style w:type="character" w:styleId="DipnotBavurusu">
    <w:name w:val="footnote reference"/>
    <w:basedOn w:val="VarsaylanParagrafYazTipi"/>
    <w:uiPriority w:val="99"/>
    <w:semiHidden/>
    <w:unhideWhenUsed/>
    <w:rsid w:val="001C1749"/>
    <w:rPr>
      <w:vertAlign w:val="superscript"/>
    </w:rPr>
  </w:style>
  <w:style w:type="character" w:customStyle="1" w:styleId="Balk3Char">
    <w:name w:val="Başlık 3 Char"/>
    <w:basedOn w:val="VarsaylanParagrafYazTipi"/>
    <w:link w:val="Balk3"/>
    <w:uiPriority w:val="99"/>
    <w:rsid w:val="00560301"/>
    <w:rPr>
      <w:rFonts w:asciiTheme="majorHAnsi" w:eastAsiaTheme="majorEastAsia" w:hAnsiTheme="majorHAnsi" w:cstheme="majorBidi"/>
      <w:color w:val="1F4D78" w:themeColor="accent1" w:themeShade="7F"/>
    </w:rPr>
  </w:style>
  <w:style w:type="paragraph" w:styleId="AklamaKonusu">
    <w:name w:val="annotation subject"/>
    <w:basedOn w:val="AklamaMetni"/>
    <w:next w:val="AklamaMetni"/>
    <w:link w:val="AklamaKonusuChar"/>
    <w:uiPriority w:val="99"/>
    <w:semiHidden/>
    <w:unhideWhenUsed/>
    <w:rsid w:val="001F0281"/>
    <w:rPr>
      <w:b/>
      <w:bCs/>
    </w:rPr>
  </w:style>
  <w:style w:type="character" w:customStyle="1" w:styleId="AklamaKonusuChar">
    <w:name w:val="Açıklama Konusu Char"/>
    <w:basedOn w:val="AklamaMetniChar"/>
    <w:link w:val="AklamaKonusu"/>
    <w:uiPriority w:val="99"/>
    <w:semiHidden/>
    <w:rsid w:val="001F0281"/>
    <w:rPr>
      <w:rFonts w:ascii="Cambria" w:hAnsi="Cambria"/>
      <w:b/>
      <w:bCs/>
      <w:color w:val="000000" w:themeColor="text1"/>
      <w:sz w:val="20"/>
      <w:szCs w:val="20"/>
    </w:rPr>
  </w:style>
  <w:style w:type="paragraph" w:styleId="BalonMetni">
    <w:name w:val="Balloon Text"/>
    <w:basedOn w:val="Normal"/>
    <w:link w:val="BalonMetniChar"/>
    <w:uiPriority w:val="99"/>
    <w:semiHidden/>
    <w:unhideWhenUsed/>
    <w:rsid w:val="001F0281"/>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1F0281"/>
    <w:rPr>
      <w:rFonts w:ascii="Segoe UI" w:hAnsi="Segoe UI" w:cs="Segoe UI"/>
      <w:color w:val="000000" w:themeColor="text1"/>
      <w:sz w:val="18"/>
      <w:szCs w:val="18"/>
    </w:rPr>
  </w:style>
  <w:style w:type="paragraph" w:customStyle="1" w:styleId="Balk-1">
    <w:name w:val="Başlık-1"/>
    <w:basedOn w:val="Normal"/>
    <w:next w:val="Paragraf"/>
    <w:link w:val="Balk-1Char"/>
    <w:uiPriority w:val="1"/>
    <w:qFormat/>
    <w:rsid w:val="00AC0298"/>
    <w:pPr>
      <w:spacing w:before="240"/>
      <w:jc w:val="left"/>
    </w:pPr>
    <w:rPr>
      <w:b/>
    </w:rPr>
  </w:style>
  <w:style w:type="paragraph" w:customStyle="1" w:styleId="Paragraf">
    <w:name w:val="Paragraf"/>
    <w:basedOn w:val="Normal"/>
    <w:link w:val="ParagrafChar"/>
    <w:uiPriority w:val="6"/>
    <w:qFormat/>
    <w:rsid w:val="00810D2B"/>
    <w:pPr>
      <w:spacing w:before="120"/>
      <w:contextualSpacing w:val="0"/>
    </w:pPr>
  </w:style>
  <w:style w:type="character" w:customStyle="1" w:styleId="Balk-1Char">
    <w:name w:val="Başlık-1 Char"/>
    <w:basedOn w:val="VarsaylanParagrafYazTipi"/>
    <w:link w:val="Balk-1"/>
    <w:uiPriority w:val="1"/>
    <w:rsid w:val="001524E0"/>
    <w:rPr>
      <w:rFonts w:ascii="Cambria" w:hAnsi="Cambria"/>
      <w:b/>
      <w:color w:val="000000" w:themeColor="text1"/>
      <w:sz w:val="20"/>
    </w:rPr>
  </w:style>
  <w:style w:type="paragraph" w:styleId="ResimYazs">
    <w:name w:val="caption"/>
    <w:basedOn w:val="Normal"/>
    <w:next w:val="Normal"/>
    <w:uiPriority w:val="99"/>
    <w:unhideWhenUsed/>
    <w:rsid w:val="00C64948"/>
    <w:pPr>
      <w:spacing w:after="200" w:line="276" w:lineRule="auto"/>
      <w:contextualSpacing w:val="0"/>
      <w:jc w:val="left"/>
    </w:pPr>
    <w:rPr>
      <w:rFonts w:ascii="Calibri" w:eastAsia="Calibri" w:hAnsi="Calibri"/>
      <w:b/>
      <w:bCs/>
      <w:color w:val="auto"/>
      <w:szCs w:val="20"/>
    </w:rPr>
  </w:style>
  <w:style w:type="character" w:customStyle="1" w:styleId="ParagrafChar">
    <w:name w:val="Paragraf Char"/>
    <w:basedOn w:val="VarsaylanParagrafYazTipi"/>
    <w:link w:val="Paragraf"/>
    <w:uiPriority w:val="6"/>
    <w:rsid w:val="001524E0"/>
    <w:rPr>
      <w:rFonts w:ascii="Cambria" w:hAnsi="Cambria"/>
      <w:color w:val="000000" w:themeColor="text1"/>
      <w:sz w:val="20"/>
    </w:rPr>
  </w:style>
  <w:style w:type="paragraph" w:customStyle="1" w:styleId="Eitlik">
    <w:name w:val="Eşitlik"/>
    <w:basedOn w:val="Normal"/>
    <w:next w:val="Paragraf"/>
    <w:uiPriority w:val="4"/>
    <w:qFormat/>
    <w:rsid w:val="00373440"/>
    <w:pPr>
      <w:tabs>
        <w:tab w:val="left" w:pos="0"/>
        <w:tab w:val="right" w:pos="4678"/>
      </w:tabs>
      <w:jc w:val="left"/>
    </w:pPr>
    <w:rPr>
      <w:rFonts w:ascii="Cambria Math" w:hAnsi="Cambria Math"/>
      <w:szCs w:val="20"/>
    </w:rPr>
  </w:style>
  <w:style w:type="character" w:styleId="YerTutucuMetni">
    <w:name w:val="Placeholder Text"/>
    <w:basedOn w:val="VarsaylanParagrafYazTipi"/>
    <w:uiPriority w:val="99"/>
    <w:semiHidden/>
    <w:rsid w:val="00373440"/>
    <w:rPr>
      <w:color w:val="808080"/>
    </w:rPr>
  </w:style>
  <w:style w:type="paragraph" w:customStyle="1" w:styleId="Kaynaklar">
    <w:name w:val="Kaynaklar"/>
    <w:basedOn w:val="Normal"/>
    <w:next w:val="Paragraf"/>
    <w:uiPriority w:val="5"/>
    <w:qFormat/>
    <w:rsid w:val="00E64386"/>
    <w:pPr>
      <w:spacing w:before="120" w:after="200"/>
      <w:ind w:left="284" w:hanging="284"/>
      <w:contextualSpacing w:val="0"/>
    </w:pPr>
    <w:rPr>
      <w:szCs w:val="20"/>
    </w:rPr>
  </w:style>
  <w:style w:type="paragraph" w:customStyle="1" w:styleId="MakaleBal">
    <w:name w:val="Makale Başlığı"/>
    <w:basedOn w:val="Balk1"/>
    <w:next w:val="Normal"/>
    <w:qFormat/>
    <w:rsid w:val="001524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rcid.org/" TargetMode="External"/><Relationship Id="rId13" Type="http://schemas.openxmlformats.org/officeDocument/2006/relationships/footer" Target="footer1.xml"/><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dx.doi.org/10.31796/ogummf.330136" TargetMode="Externa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4.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yperlink" Target="http://arxiv.org/ftp/arxiv/papers/1504/1504.02576.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 TargetMode="External"/><Relationship Id="rId24" Type="http://schemas.openxmlformats.org/officeDocument/2006/relationships/image" Target="media/image8.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7.png"/><Relationship Id="rId10" Type="http://schemas.openxmlformats.org/officeDocument/2006/relationships/hyperlink" Target="mailto:eposta@aaa.edu.tr" TargetMode="External"/><Relationship Id="rId19" Type="http://schemas.openxmlformats.org/officeDocument/2006/relationships/image" Target="media/image6.jpeg"/><Relationship Id="rId4" Type="http://schemas.openxmlformats.org/officeDocument/2006/relationships/settings" Target="settings.xml"/><Relationship Id="rId9" Type="http://schemas.openxmlformats.org/officeDocument/2006/relationships/hyperlink" Target="https://orcid.org/" TargetMode="External"/><Relationship Id="rId14" Type="http://schemas.openxmlformats.org/officeDocument/2006/relationships/header" Target="header2.xml"/><Relationship Id="rId22" Type="http://schemas.openxmlformats.org/officeDocument/2006/relationships/hyperlink" Target="http://www.tk.org.tr/index.php/TK" TargetMode="External"/><Relationship Id="rId27" Type="http://schemas.openxmlformats.org/officeDocument/2006/relationships/theme" Target="theme/theme1.xml"/><Relationship Id="rId28" Type="http://schemas.openxmlformats.org/officeDocument/2006/relationships/image" Target="media/image9.png"/><Relationship Id="rId29" Type="http://schemas.openxmlformats.org/officeDocument/2006/relationships/image" Target="media/image10.png"/><Relationship Id="rId30" Type="http://schemas.openxmlformats.org/officeDocument/2006/relationships/image" Target="media/image11.png"/><Relationship Id="rId31" Type="http://schemas.openxmlformats.org/officeDocument/2006/relationships/image" Target="media/image12.png"/><Relationship Id="rId32" Type="http://schemas.openxmlformats.org/officeDocument/2006/relationships/image" Target="media/image13.png"/></Relationships>
</file>

<file path=word/_rels/footer1.xml.rels><?xml version='1.0' encoding='UTF-8' standalone='yes'?>
<Relationships xmlns="http://schemas.openxmlformats.org/package/2006/relationships"><Relationship Id="rId3" Type="http://schemas.openxmlformats.org/officeDocument/2006/relationships/hyperlink" Target="http://creativecommons.org/licenses/by/4.0/" TargetMode="External"/><Relationship Id="rId2" Type="http://schemas.openxmlformats.org/officeDocument/2006/relationships/hyperlink" Target="http://creativecommons.org/licenses/by/4.0/" TargetMode="External"/><Relationship Id="rId1" Type="http://schemas.openxmlformats.org/officeDocument/2006/relationships/image" Target="media/image1.png"/><Relationship Id="rId5" Type="http://schemas.openxmlformats.org/officeDocument/2006/relationships/hyperlink" Target="http://creativecommons.org/licenses/by/4.0/" TargetMode="External"/><Relationship Id="rId4" Type="http://schemas.openxmlformats.org/officeDocument/2006/relationships/hyperlink" Target="http://creativecommons.org/licenses/by/4.0/"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5838DC-7CE4-4647-A47F-FFB0D0C001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5941</TotalTime>
  <Pages>3</Pages>
  <Words>1335</Words>
  <Characters>7610</Characters>
  <Application>Microsoft Office Word</Application>
  <DocSecurity>0</DocSecurity>
  <Lines>63</Lines>
  <Paragraphs>17</Paragraphs>
  <ScaleCrop>false</ScaleCrop>
  <HeadingPairs>
    <vt:vector size="2" baseType="variant">
      <vt:variant>
        <vt:lpstr>Konu Başlığı</vt:lpstr>
      </vt:variant>
      <vt:variant>
        <vt:i4>1</vt:i4>
      </vt:variant>
    </vt:vector>
  </HeadingPairs>
  <TitlesOfParts>
    <vt:vector size="1" baseType="lpstr">
      <vt:lpstr/>
    </vt:vector>
  </TitlesOfParts>
  <Company>Silentall Unattended Installer</Company>
  <LinksUpToDate>false</LinksUpToDate>
  <CharactersWithSpaces>8928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MelihİPHAR</dc:creator>
  <cp:keywords/>
  <dc:description/>
  <cp:lastModifiedBy>MelihİPHAR</cp:lastModifiedBy>
  <cp:revision>11</cp:revision>
  <dcterms:created xsi:type="dcterms:W3CDTF">2022-12-27T09:16:00Z</dcterms:created>
  <dcterms:modified xsi:type="dcterms:W3CDTF">2023-01-31T10:10:00Z</dcterms:modified>
</cp:coreProperties>
</file>