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8rgtcc8dia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Definition of Done (DoD) - Corevia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680.3149606299213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680.3149606299213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-283.46456692913375" w:firstLine="0"/>
        <w:jc w:val="center"/>
        <w:rPr>
          <w:rFonts w:ascii="Calibri" w:cs="Calibri" w:eastAsia="Calibri" w:hAnsi="Calibri"/>
          <w:sz w:val="64"/>
          <w:szCs w:val="6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151350" cy="116915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1350" cy="1169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-283.46456692913375" w:firstLine="0"/>
        <w:jc w:val="center"/>
        <w:rPr>
          <w:rFonts w:ascii="Calibri" w:cs="Calibri" w:eastAsia="Calibri" w:hAnsi="Calibri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-283.46456692913375" w:firstLine="0"/>
        <w:jc w:val="center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-283.46456692913375" w:firstLine="0"/>
        <w:jc w:val="center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Livrable du projet ESP-700</w:t>
      </w:r>
    </w:p>
    <w:p w:rsidR="00000000" w:rsidDel="00000000" w:rsidP="00000000" w:rsidRDefault="00000000" w:rsidRPr="00000000" w14:paraId="00000008">
      <w:pPr>
        <w:spacing w:line="360" w:lineRule="auto"/>
        <w:ind w:left="-283.46456692913375" w:firstLine="0"/>
        <w:jc w:val="center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-283.46456692913375" w:firstLine="0"/>
        <w:jc w:val="center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-283.46456692913375" w:firstLine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Réalisé par Justin MBODJE, Yasser MEKHFI, Jérémy COQUELIN, Mohamed </w:t>
        <w:tab/>
        <w:t xml:space="preserve">FOFANA, Matteo COGAN, Mehdi SABIR, Alex SOUSSI, Noah BROHAN</w:t>
      </w:r>
    </w:p>
    <w:p w:rsidR="00000000" w:rsidDel="00000000" w:rsidP="00000000" w:rsidRDefault="00000000" w:rsidRPr="00000000" w14:paraId="0000000B">
      <w:pPr>
        <w:spacing w:line="360" w:lineRule="auto"/>
        <w:ind w:left="-283.46456692913375" w:firstLine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-283.46456692913375" w:firstLine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-283.46456692913375" w:firstLine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Établissement de formation : EPITECH RENNES</w:t>
      </w:r>
    </w:p>
    <w:p w:rsidR="00000000" w:rsidDel="00000000" w:rsidP="00000000" w:rsidRDefault="00000000" w:rsidRPr="00000000" w14:paraId="0000000E">
      <w:pPr>
        <w:spacing w:line="360" w:lineRule="auto"/>
        <w:ind w:left="-283.46456692913375" w:firstLine="0"/>
        <w:jc w:val="center"/>
        <w:rPr>
          <w:rFonts w:ascii="Calibri" w:cs="Calibri" w:eastAsia="Calibri" w:hAnsi="Calibri"/>
          <w:sz w:val="64"/>
          <w:szCs w:val="64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Promotion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-283.46456692913375" w:firstLine="0"/>
        <w:jc w:val="center"/>
        <w:rPr>
          <w:rFonts w:ascii="Calibri" w:cs="Calibri" w:eastAsia="Calibri" w:hAnsi="Calibri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680.3149606299213"/>
        <w:rPr>
          <w:rFonts w:ascii="Calibri" w:cs="Calibri" w:eastAsia="Calibri" w:hAnsi="Calibri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id w:val="-7052400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3,3,Heading 4,4,Heading 5,5,Heading 6,6,"</w:instrText>
            <w:fldChar w:fldCharType="separate"/>
          </w:r>
          <w:hyperlink w:anchor="_1s1e36aytj9">
            <w:r w:rsidDel="00000000" w:rsidR="00000000" w:rsidRPr="00000000">
              <w:rPr>
                <w:b w:val="1"/>
                <w:rtl w:val="0"/>
              </w:rPr>
              <w:t xml:space="preserve">Sommaire général des critères DoD communs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3gjkldabyjka">
            <w:r w:rsidDel="00000000" w:rsidR="00000000" w:rsidRPr="00000000">
              <w:rPr>
                <w:b w:val="1"/>
                <w:rtl w:val="0"/>
              </w:rPr>
              <w:t xml:space="preserve">1. Création des mesures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d2dxcrhlx9l3">
            <w:r w:rsidDel="00000000" w:rsidR="00000000" w:rsidRPr="00000000">
              <w:rPr>
                <w:b w:val="1"/>
                <w:rtl w:val="0"/>
              </w:rPr>
              <w:t xml:space="preserve">2. Notification et rappels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k0edvhiumo7k">
            <w:r w:rsidDel="00000000" w:rsidR="00000000" w:rsidRPr="00000000">
              <w:rPr>
                <w:b w:val="1"/>
                <w:rtl w:val="0"/>
              </w:rPr>
              <w:t xml:space="preserve">3. Prise de rendez-vous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hwwujbmhch75">
            <w:r w:rsidDel="00000000" w:rsidR="00000000" w:rsidRPr="00000000">
              <w:rPr>
                <w:b w:val="1"/>
                <w:rtl w:val="0"/>
              </w:rPr>
              <w:t xml:space="preserve">4. Intégration des composants 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2lqbk9ilop5a">
            <w:r w:rsidDel="00000000" w:rsidR="00000000" w:rsidRPr="00000000">
              <w:rPr>
                <w:b w:val="1"/>
                <w:rtl w:val="0"/>
              </w:rPr>
              <w:t xml:space="preserve">5. Sécurité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fqemxhqnm8xa">
            <w:r w:rsidDel="00000000" w:rsidR="00000000" w:rsidRPr="00000000">
              <w:rPr>
                <w:b w:val="1"/>
                <w:rtl w:val="0"/>
              </w:rPr>
              <w:t xml:space="preserve">6. Confidentialité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le03o0px2yfc">
            <w:r w:rsidDel="00000000" w:rsidR="00000000" w:rsidRPr="00000000">
              <w:rPr>
                <w:b w:val="1"/>
                <w:rtl w:val="0"/>
              </w:rPr>
              <w:t xml:space="preserve">7. Test et validation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1s1e36aytj9" w:id="1"/>
      <w:bookmarkEnd w:id="1"/>
      <w:r w:rsidDel="00000000" w:rsidR="00000000" w:rsidRPr="00000000">
        <w:rPr>
          <w:rFonts w:ascii="Calibri" w:cs="Calibri" w:eastAsia="Calibri" w:hAnsi="Calibri"/>
          <w:b w:val="1"/>
          <w:sz w:val="46"/>
          <w:szCs w:val="46"/>
          <w:rtl w:val="0"/>
        </w:rPr>
        <w:t xml:space="preserve">Sommaire général des critères DoD communs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Couverture de tests unitaires ≥ 80% obligatoire pour chaque module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Tests d’intégration réalisés si interaction avec d'autres modules (front ↔ back, back ↔ data, etc.)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Documentation technique (code, API, schéma, algorithme) mise à jour pour chaque livrable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✔️Tests fonctionnels réalisés sur les devices cibles (Android/iOS pour mobile, navigateurs modernes pour back-office)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Relecture de code (Pull Request) validée par un pair + CI/CD entièrement passée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Déploiement effectué en environnement de staging avec données de test vérifiées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Respect des règles de sécurité et confidentialité (chiffrement, authentification, gestion des erreurs)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Comportement utilisateur validé : ergonomie, messages clairs, retours d’erreur gérés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  <w:b w:val="1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Feedback produit ou utilisateur pris en compte avant validation finale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w6xp9neyl22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3gjkldabyjka" w:id="3"/>
      <w:bookmarkEnd w:id="3"/>
      <w:r w:rsidDel="00000000" w:rsidR="00000000" w:rsidRPr="00000000">
        <w:rPr>
          <w:rFonts w:ascii="Calibri" w:cs="Calibri" w:eastAsia="Calibri" w:hAnsi="Calibri"/>
          <w:b w:val="1"/>
          <w:sz w:val="46"/>
          <w:szCs w:val="46"/>
          <w:rtl w:val="0"/>
        </w:rPr>
        <w:t xml:space="preserve">1. Création des mesures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vfb7vronti9v" w:id="4"/>
      <w:bookmarkEnd w:id="4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1.1.1 – Formulaire de saisie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Interface mobile ergonomique testée sur Android &amp; iOS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Prise en charge des unités et plages normales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Tests d’intégration avec la base de données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Documentation fonctionnelle (type de mesures, format, validation)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ayvt519j58yb" w:id="5"/>
      <w:bookmarkEnd w:id="5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1.1.2 – Validation des mesures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Vérification des plages normales et unités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Alertes affichées en cas de valeur hors norme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Couverture de cas limites et erreurs utilisateur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Documentation des règles métiers de validation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v7di2fpensd" w:id="6"/>
      <w:bookmarkEnd w:id="6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1.2.1 – Affichage de l’historique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Historique trié par date, visible et scrollable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Interface mobile testée sur Android/iOS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Chargement paginé ou infini si &gt;100 éléments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c8wpi49oxgmv" w:id="7"/>
      <w:bookmarkEnd w:id="7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1.2.2 – Génération des graphiques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Graphiques dynamiques et lisibles avec zoom &amp; filtre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Performance : rendu &lt; 500ms pour 200 mesures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Documentation des règles de calcul ou d’agrégation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uxretb984apf" w:id="8"/>
      <w:bookmarkEnd w:id="8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1.2.3 – Filtrage des mesures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Filtres fonctionnels : jour/semaine/mois/année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Affichage réactif après sélection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Résultats validés avec données mock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240" w:before="240" w:lineRule="auto"/>
        <w:rPr>
          <w:sz w:val="46"/>
          <w:szCs w:val="46"/>
        </w:rPr>
      </w:pPr>
      <w:bookmarkStart w:colFirst="0" w:colLast="0" w:name="_d2dxcrhlx9l3" w:id="9"/>
      <w:bookmarkEnd w:id="9"/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2. Notification et rappels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2tx1w7xn4k3e" w:id="10"/>
      <w:bookmarkEnd w:id="10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2.1 – Création de rappels personnalisés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Formulaire avec fréquence, heure, note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Validation des champs obligatoire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libri" w:cs="Calibri" w:eastAsia="Calibri" w:hAnsi="Calibri"/>
          <w:b w:val="1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UX validée pour répétition/révision facile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estq1bqfhy9a" w:id="11"/>
      <w:bookmarkEnd w:id="11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2.2.1 – Notification mobile (push)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Notification reçue à l’heure prévue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UX validée (interaction confirmée, report possible)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Documentation ajoutée pour configuration FCM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mkh7bno04hzy" w:id="12"/>
      <w:bookmarkEnd w:id="1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2.2.2 – Notification par email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Email reçu à l'heure prévue avec bon contenu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Lien de confirmation fonctionnel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Documenté dans système de notification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qg0gx2wimbkt" w:id="13"/>
      <w:bookmarkEnd w:id="13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2.2.3 – Suivi des rappels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Statuts : confirmé / ignoré / en retard visibles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Interface de suivi opérationnelle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Alerte activée si rappel ignoré récurrent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alibri" w:cs="Calibri" w:eastAsia="Calibri" w:hAnsi="Calibri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240" w:before="240" w:lineRule="auto"/>
        <w:rPr>
          <w:b w:val="1"/>
          <w:sz w:val="46"/>
          <w:szCs w:val="46"/>
        </w:rPr>
      </w:pPr>
      <w:bookmarkStart w:colFirst="0" w:colLast="0" w:name="_k0edvhiumo7k" w:id="14"/>
      <w:bookmarkEnd w:id="14"/>
      <w:r w:rsidDel="00000000" w:rsidR="00000000" w:rsidRPr="00000000">
        <w:rPr>
          <w:b w:val="1"/>
          <w:sz w:val="46"/>
          <w:szCs w:val="46"/>
          <w:rtl w:val="0"/>
        </w:rPr>
        <w:t xml:space="preserve">3. Prise de rendez-vous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skyl58vkza0n" w:id="15"/>
      <w:bookmarkEnd w:id="15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3.1.1 – Recherche de médecin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Recherche fonctionnelle par nom et lieu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Résultats pertinents triés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Cas sans résultat bien gérés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ulfrom10j55e" w:id="16"/>
      <w:bookmarkEnd w:id="16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3.1.1.1 – Filtrage par spécialité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Spécialités listées dynamiquement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Résultats filtrés instantanément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zfj1qsivlpp4" w:id="17"/>
      <w:bookmarkEnd w:id="17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3.1.1.2 – Affichage des créneaux en temps réel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Données à jour via polling ou WebSocket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Interface claire avec gestion des créneaux indisponibles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Documentation : structure de données et logique d’actualisation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50gyph2f1h3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r5wowfzehjgx" w:id="19"/>
      <w:bookmarkEnd w:id="19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3.1.2.1 – Sélection d’un créneau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Créneau sélectionnable sans conflit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Confirmation visuelle (popup ou page)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m2b5bocv7snr" w:id="20"/>
      <w:bookmarkEnd w:id="20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3.1.2.2 – Confirmation + notification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Push/email/SMS envoyés à la confirmation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Réservation persistée en base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ycd0dfevpkx8" w:id="21"/>
      <w:bookmarkEnd w:id="21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3.1.2.3 – Annulation/modification RDV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Annulation effective en base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Notifs envoyées automatiquement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Historique mis à jour en temps réel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8zi37vd2meu1" w:id="22"/>
      <w:bookmarkEnd w:id="2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3.2.1 – Rappel avant RDV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Envoi à J-1 et H-1 selon canal choisi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Message clair et horodaté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ral7m56tl3k6" w:id="23"/>
      <w:bookmarkEnd w:id="23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3.2.2 – Lien vers téléconsultation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Lien sécurisé généré à la confirmation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alibri" w:cs="Calibri" w:eastAsia="Calibri" w:hAnsi="Calibri"/>
          <w:b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Lien accessible depuis les rappels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fgso2phko3i8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w197d2ox681h" w:id="25"/>
      <w:bookmarkEnd w:id="25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3.2.3 – Questionnaire post-consultation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Accessible dès fin de RDV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Sauvegarde fiable des réponses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Analyse statistique possible (structure de données cohérente)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alibri" w:cs="Calibri" w:eastAsia="Calibri" w:hAnsi="Calibri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libri" w:cs="Calibri" w:eastAsia="Calibri" w:hAnsi="Calibri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alibri" w:cs="Calibri" w:eastAsia="Calibri" w:hAnsi="Calibri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alibri" w:cs="Calibri" w:eastAsia="Calibri" w:hAnsi="Calibri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alibri" w:cs="Calibri" w:eastAsia="Calibri" w:hAnsi="Calibri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240" w:before="240" w:lineRule="auto"/>
        <w:rPr>
          <w:b w:val="1"/>
          <w:sz w:val="46"/>
          <w:szCs w:val="46"/>
        </w:rPr>
      </w:pPr>
      <w:bookmarkStart w:colFirst="0" w:colLast="0" w:name="_hwwujbmhch75" w:id="26"/>
      <w:bookmarkEnd w:id="26"/>
      <w:r w:rsidDel="00000000" w:rsidR="00000000" w:rsidRPr="00000000">
        <w:rPr>
          <w:b w:val="1"/>
          <w:sz w:val="46"/>
          <w:szCs w:val="46"/>
          <w:rtl w:val="0"/>
        </w:rPr>
        <w:t xml:space="preserve">4. Intégration des composants IA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h2yrqt4og6s4" w:id="27"/>
      <w:bookmarkEnd w:id="27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4.1.1 – Analyse des symptômes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Logique de dialogue IA testée sur cas simples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Base symptomatique intégrée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Comportement sécurisé en cas de symptômes graves (redirection)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7ev1owtqh6r2" w:id="28"/>
      <w:bookmarkEnd w:id="28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4.1.2 – Proposition de diagnostics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Suggestions basées sur règles IA ou ML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Niveau de confiance affiché pour chaque suggestion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Cas simples validés manuellement et automatiquement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qnpdf8hj8nfc" w:id="29"/>
      <w:bookmarkEnd w:id="29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4.1.3 – Redirection vers prise de RDV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Lien actif vers module de RDV (3.1)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Redirection automatique sur symptômes critiques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b0skfu1cqm4a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9s2cd3lnwr3r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51whal5noxvn" w:id="32"/>
      <w:bookmarkEnd w:id="3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4.2.1 – Conseils personnalisés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Conseils basés sur données passées et préférences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Interface claire et contextualisée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Algorithme documenté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</w:rPr>
      </w:pPr>
      <w:bookmarkStart w:colFirst="0" w:colLast="0" w:name="_28nf4tdpufng" w:id="33"/>
      <w:bookmarkEnd w:id="33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4.2.2 – Détection de tendances anormales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Alerte visible et claire côté utilisateur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Précision ≥ 90% sur cas anormaux identifiés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Couverture de tests automatisés assurée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2lqbk9ilop5a" w:id="34"/>
      <w:bookmarkEnd w:id="34"/>
      <w:r w:rsidDel="00000000" w:rsidR="00000000" w:rsidRPr="00000000">
        <w:rPr>
          <w:rFonts w:ascii="Calibri" w:cs="Calibri" w:eastAsia="Calibri" w:hAnsi="Calibri"/>
          <w:b w:val="1"/>
          <w:sz w:val="46"/>
          <w:szCs w:val="46"/>
          <w:rtl w:val="0"/>
        </w:rPr>
        <w:t xml:space="preserve">5. Sécurité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3vf9ugohb84f" w:id="35"/>
      <w:bookmarkEnd w:id="35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5.1.1 – Connexion email / mot de passe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Authentification sécurisée (hash bcrypt)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Résistance aux attaques bruteforce testée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Logs et audit en cas d’échec de login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k7fwbm9kvvpf" w:id="36"/>
      <w:bookmarkEnd w:id="36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5.1.2 – Inscription avec confirmation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Saisie sécurisée (double champ, force du mot de passe)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Email de confirmation envoyé et cliquable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Utilisateur activé uniquement après validation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hqtbb4whnh4x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o72b1pdrxsor" w:id="38"/>
      <w:bookmarkEnd w:id="38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5.1.3 – Connexion OAuth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Connexion avec Google + Apple (min)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Jetons sécurisés et stockés temporairement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w0j71667rurs" w:id="39"/>
      <w:bookmarkEnd w:id="39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5.2.1 – Chiffrement des données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Données sensibles chiffrées en base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Backups également chiffrés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Documentation cryptographique présente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1f90pcm5ka2q" w:id="40"/>
      <w:bookmarkEnd w:id="40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5.2.2 – Transmission HTTPS/TLS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Aucune requête HTTP non sécurisée tolérée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Certificats SSL valides en production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Analyse des headers réseau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3j11gbwkj9nd" w:id="41"/>
      <w:bookmarkEnd w:id="41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5.2.3 – Détection d’intrusion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Logs analysés automatiquement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Alerte générée sur pattern suspect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Journalisation en base avec timestamp/IP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qmklndrhg822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dv6mb5yon5nx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78ugwa20blwl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agutaur4tw1s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f4z8le79a7fl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a8sed390def5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p5rldnoziq7l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rjf6n4x295mf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fqemxhqnm8xa" w:id="50"/>
      <w:bookmarkEnd w:id="50"/>
      <w:r w:rsidDel="00000000" w:rsidR="00000000" w:rsidRPr="00000000">
        <w:rPr>
          <w:rFonts w:ascii="Calibri" w:cs="Calibri" w:eastAsia="Calibri" w:hAnsi="Calibri"/>
          <w:b w:val="1"/>
          <w:sz w:val="46"/>
          <w:szCs w:val="46"/>
          <w:rtl w:val="0"/>
        </w:rPr>
        <w:t xml:space="preserve">6. Confidentialité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edi92qgrz9jk" w:id="51"/>
      <w:bookmarkEnd w:id="51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6.1.1 – Niveaux de confidentialité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Choix de partage (public, médecin, privé)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Calibri" w:cs="Calibri" w:eastAsia="Calibri" w:hAnsi="Calibri"/>
          <w:b w:val="1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Paramètres enregistrés par 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yvl5jxymv3g7" w:id="52"/>
      <w:bookmarkEnd w:id="5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6.1.2 – Consentement partage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Interface claire de gestion des consentements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Traçabilité (date, type de partage)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Démo PO + audit RGPD validé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ew39szt00378" w:id="53"/>
      <w:bookmarkEnd w:id="53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6.2.1 – Suppression du compte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Suppression irréversible confirmée (double validation)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Aucune donnée persistée après suppression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1x2ye82a4l6j" w:id="54"/>
      <w:bookmarkEnd w:id="54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6.2.2 – Anonymisation automatique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Script d’anonymisation post-inactivité (12 mois)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Données utilisables en statistique uniquement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6vb9svw8bwzm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3v3179fq88nv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9yovdba7aiws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le03o0px2yfc" w:id="58"/>
      <w:bookmarkEnd w:id="58"/>
      <w:r w:rsidDel="00000000" w:rsidR="00000000" w:rsidRPr="00000000">
        <w:rPr>
          <w:rFonts w:ascii="Calibri" w:cs="Calibri" w:eastAsia="Calibri" w:hAnsi="Calibri"/>
          <w:b w:val="1"/>
          <w:sz w:val="46"/>
          <w:szCs w:val="46"/>
          <w:rtl w:val="0"/>
        </w:rPr>
        <w:t xml:space="preserve">7. Test et validation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idr35f8rj5rt" w:id="59"/>
      <w:bookmarkEnd w:id="59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7.1 – Tests de sécurité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7.1.1 – Bruteforce : Scénarios testés avec logs activés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7.1.2 – Chiffrement testé sur données sensibles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7.1.3 – HTTPS forcé, tests de vulnérabilité réseau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731el0skpv21" w:id="60"/>
      <w:bookmarkEnd w:id="60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7.1.1 – Attaque sur authentification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Bruteforce simulé (50 tentatives/min)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Blocage temporaire + journalisation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Audit sécurité validé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klzmv1xc3o0j" w:id="61"/>
      <w:bookmarkEnd w:id="61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7.1.2 – Test de chiffrement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Lecture directe des données impossible sans déchiffrement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Test sur table sensible (utilisateur, santé...)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Rapport généré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yvkznsjg4vp9" w:id="62"/>
      <w:bookmarkEnd w:id="6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7.1.3 – Sécurisation des communications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Scan OWASP ZAP ou équivalent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Headers de sécurité vérifiés (CSP, HSTS...)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Rapport sans faille critique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ux5do2y13u98" w:id="63"/>
      <w:bookmarkEnd w:id="63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7.2 – Tests fonctionnels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7.2.1 – Couverture unitaire ≥ 80%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7.2.2 – Intégration back ↔ mobile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7.2.3 – Non-régression assurée (CI/CD)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7.2.4 – Tests utilisateurs (feedback analysé)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v8j8g6zcsru9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axysmqhljbcs" w:id="65"/>
      <w:bookmarkEnd w:id="65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7.3 – Tests de performance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7.3.1 – 100 utilisateurs simulés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7.3.2 – Test de montée en charge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7.3.3 – Latence &lt; 500ms (95% des cas)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✔️ 7.3.4 – Requêtes lentes identifiées et optimisées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type w:val="nextPage"/>
      <w:pgSz w:h="16834" w:w="11909" w:orient="portrait"/>
      <w:pgMar w:bottom="1440" w:top="1440" w:left="1440" w:right="1440" w:header="283.46456692913387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spacing w:line="360" w:lineRule="auto"/>
      <w:ind w:firstLine="680.3149606299213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                                                           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3861569</wp:posOffset>
          </wp:positionH>
          <wp:positionV relativeFrom="paragraph">
            <wp:posOffset>19051</wp:posOffset>
          </wp:positionV>
          <wp:extent cx="992807" cy="366713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2807" cy="3667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447675</wp:posOffset>
          </wp:positionH>
          <wp:positionV relativeFrom="paragraph">
            <wp:posOffset>133350</wp:posOffset>
          </wp:positionV>
          <wp:extent cx="1249462" cy="253387"/>
          <wp:effectExtent b="0" l="0" r="0" t="0"/>
          <wp:wrapSquare wrapText="bothSides" distB="114300" distT="114300" distL="114300" distR="11430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9462" cy="2533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