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bookmarkStart w:colFirst="0" w:colLast="0" w:name="_ihuz4wql5kgj" w:id="0"/>
      <w:bookmarkEnd w:id="0"/>
      <w:r w:rsidDel="00000000" w:rsidR="00000000" w:rsidRPr="00000000">
        <w:rPr>
          <w:rtl w:val="0"/>
        </w:rPr>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ind w:firstLine="0"/>
        <w:jc w:val="center"/>
        <w:rPr>
          <w:sz w:val="64"/>
          <w:szCs w:val="64"/>
        </w:rPr>
      </w:pPr>
      <w:r w:rsidDel="00000000" w:rsidR="00000000" w:rsidRPr="00000000">
        <w:rPr/>
        <w:drawing>
          <wp:inline distB="114300" distT="114300" distL="114300" distR="114300">
            <wp:extent cx="3151350" cy="116915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51350" cy="11691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sz w:val="64"/>
          <w:szCs w:val="64"/>
        </w:rPr>
      </w:pPr>
      <w:r w:rsidDel="00000000" w:rsidR="00000000" w:rsidRPr="00000000">
        <w:rPr>
          <w:rtl w:val="0"/>
        </w:rPr>
      </w:r>
    </w:p>
    <w:p w:rsidR="00000000" w:rsidDel="00000000" w:rsidP="00000000" w:rsidRDefault="00000000" w:rsidRPr="00000000" w14:paraId="00000005">
      <w:pPr>
        <w:jc w:val="center"/>
        <w:rPr>
          <w:rFonts w:ascii="Montserrat" w:cs="Montserrat" w:eastAsia="Montserrat" w:hAnsi="Montserrat"/>
          <w:b w:val="1"/>
          <w:sz w:val="30"/>
          <w:szCs w:val="30"/>
        </w:rPr>
      </w:pPr>
      <w:r w:rsidDel="00000000" w:rsidR="00000000" w:rsidRPr="00000000">
        <w:rPr>
          <w:rFonts w:ascii="Montserrat" w:cs="Montserrat" w:eastAsia="Montserrat" w:hAnsi="Montserrat"/>
          <w:b w:val="1"/>
          <w:sz w:val="36"/>
          <w:szCs w:val="36"/>
          <w:rtl w:val="0"/>
        </w:rPr>
        <w:t xml:space="preserve">SYNTHÈSE COREVIA </w:t>
      </w:r>
      <w:r w:rsidDel="00000000" w:rsidR="00000000" w:rsidRPr="00000000">
        <w:rPr>
          <w:rtl w:val="0"/>
        </w:rPr>
      </w:r>
    </w:p>
    <w:p w:rsidR="00000000" w:rsidDel="00000000" w:rsidP="00000000" w:rsidRDefault="00000000" w:rsidRPr="00000000" w14:paraId="00000006">
      <w:pPr>
        <w:jc w:val="center"/>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Livrable du projet ESP-700</w:t>
      </w:r>
    </w:p>
    <w:p w:rsidR="00000000" w:rsidDel="00000000" w:rsidP="00000000" w:rsidRDefault="00000000" w:rsidRPr="00000000" w14:paraId="00000007">
      <w:pPr>
        <w:jc w:val="cente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08">
      <w:pPr>
        <w:jc w:val="cente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09">
      <w:pPr>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Réalisé par Justin MBODJE, Yasser MEKHFI, Jérémy COQUELIN, Mohamed </w:t>
        <w:tab/>
        <w:t xml:space="preserve">FOFANA, Matteo COGAN, Mehdi SABIR, Alex SOUSSI, Noah BROHAN</w:t>
      </w:r>
    </w:p>
    <w:p w:rsidR="00000000" w:rsidDel="00000000" w:rsidP="00000000" w:rsidRDefault="00000000" w:rsidRPr="00000000" w14:paraId="0000000A">
      <w:pPr>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B">
      <w:pPr>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C">
      <w:pPr>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Établissement de formation : EPITECH RENNES</w:t>
      </w:r>
    </w:p>
    <w:p w:rsidR="00000000" w:rsidDel="00000000" w:rsidP="00000000" w:rsidRDefault="00000000" w:rsidRPr="00000000" w14:paraId="0000000D">
      <w:pPr>
        <w:jc w:val="center"/>
        <w:rPr>
          <w:sz w:val="64"/>
          <w:szCs w:val="64"/>
        </w:rPr>
      </w:pPr>
      <w:r w:rsidDel="00000000" w:rsidR="00000000" w:rsidRPr="00000000">
        <w:rPr>
          <w:rFonts w:ascii="Montserrat" w:cs="Montserrat" w:eastAsia="Montserrat" w:hAnsi="Montserrat"/>
          <w:sz w:val="26"/>
          <w:szCs w:val="26"/>
          <w:rtl w:val="0"/>
        </w:rPr>
        <w:t xml:space="preserve">Promotion 2026 </w:t>
      </w:r>
      <w:r w:rsidDel="00000000" w:rsidR="00000000" w:rsidRPr="00000000">
        <w:rPr>
          <w:rtl w:val="0"/>
        </w:rPr>
      </w:r>
    </w:p>
    <w:p w:rsidR="00000000" w:rsidDel="00000000" w:rsidP="00000000" w:rsidRDefault="00000000" w:rsidRPr="00000000" w14:paraId="0000000E">
      <w:pPr>
        <w:jc w:val="center"/>
        <w:rPr>
          <w:sz w:val="64"/>
          <w:szCs w:val="64"/>
        </w:rPr>
      </w:pPr>
      <w:r w:rsidDel="00000000" w:rsidR="00000000" w:rsidRPr="00000000">
        <w:rPr>
          <w:rtl w:val="0"/>
        </w:rPr>
      </w:r>
    </w:p>
    <w:p w:rsidR="00000000" w:rsidDel="00000000" w:rsidP="00000000" w:rsidRDefault="00000000" w:rsidRPr="00000000" w14:paraId="0000000F">
      <w:pPr>
        <w:pStyle w:val="Title"/>
        <w:ind w:firstLine="0"/>
        <w:jc w:val="center"/>
        <w:rPr/>
      </w:pPr>
      <w:bookmarkStart w:colFirst="0" w:colLast="0" w:name="_q091nkst8nqi" w:id="1"/>
      <w:bookmarkEnd w:id="1"/>
      <w:r w:rsidDel="00000000" w:rsidR="00000000" w:rsidRPr="00000000">
        <w:rPr>
          <w:rtl w:val="0"/>
        </w:rPr>
      </w:r>
    </w:p>
    <w:p w:rsidR="00000000" w:rsidDel="00000000" w:rsidP="00000000" w:rsidRDefault="00000000" w:rsidRPr="00000000" w14:paraId="00000010">
      <w:pPr>
        <w:ind w:firstLine="0"/>
        <w:rPr/>
      </w:pPr>
      <w:r w:rsidDel="00000000" w:rsidR="00000000" w:rsidRPr="00000000">
        <w:rPr>
          <w:rtl w:val="0"/>
        </w:rPr>
      </w:r>
    </w:p>
    <w:p w:rsidR="00000000" w:rsidDel="00000000" w:rsidP="00000000" w:rsidRDefault="00000000" w:rsidRPr="00000000" w14:paraId="00000011">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Rule="auto"/>
        <w:ind w:firstLine="0"/>
        <w:rPr>
          <w:sz w:val="40"/>
          <w:szCs w:val="40"/>
        </w:rPr>
      </w:pPr>
      <w:r w:rsidDel="00000000" w:rsidR="00000000" w:rsidRPr="00000000">
        <w:rPr>
          <w:b w:val="1"/>
          <w:sz w:val="34"/>
          <w:szCs w:val="34"/>
          <w:rtl w:val="0"/>
        </w:rPr>
        <w:t xml:space="preserve">Sommaire</w:t>
      </w:r>
      <w:r w:rsidDel="00000000" w:rsidR="00000000" w:rsidRPr="00000000">
        <w:rPr>
          <w:rtl w:val="0"/>
        </w:rPr>
      </w:r>
    </w:p>
    <w:sdt>
      <w:sdtPr>
        <w:id w:val="-929671571"/>
        <w:docPartObj>
          <w:docPartGallery w:val="Table of Contents"/>
          <w:docPartUnique w:val="1"/>
        </w:docPartObj>
      </w:sdtPr>
      <w:sdtContent>
        <w:p w:rsidR="00000000" w:rsidDel="00000000" w:rsidP="00000000" w:rsidRDefault="00000000" w:rsidRPr="00000000" w14:paraId="00000013">
          <w:pPr>
            <w:widowControl w:val="0"/>
            <w:tabs>
              <w:tab w:val="right" w:leader="dot" w:pos="9025.511811023624"/>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d1m2en7sqa7">
            <w:r w:rsidDel="00000000" w:rsidR="00000000" w:rsidRPr="00000000">
              <w:rPr>
                <w:b w:val="1"/>
                <w:color w:val="000000"/>
                <w:u w:val="none"/>
                <w:rtl w:val="0"/>
              </w:rPr>
              <w:t xml:space="preserve">1. Contexte général</w:t>
              <w:tab/>
            </w:r>
          </w:hyperlink>
          <w:r w:rsidDel="00000000" w:rsidR="00000000" w:rsidRPr="00000000">
            <w:fldChar w:fldCharType="begin"/>
            <w:instrText xml:space="preserve"> PAGEREF _4d1m2en7sqa7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firstLine="0"/>
            <w:jc w:val="left"/>
            <w:rPr>
              <w:b w:val="1"/>
              <w:color w:val="000000"/>
              <w:u w:val="none"/>
            </w:rPr>
          </w:pPr>
          <w:hyperlink w:anchor="_hn6kiya8dvhz">
            <w:r w:rsidDel="00000000" w:rsidR="00000000" w:rsidRPr="00000000">
              <w:rPr>
                <w:b w:val="1"/>
                <w:color w:val="000000"/>
                <w:u w:val="none"/>
                <w:rtl w:val="0"/>
              </w:rPr>
              <w:t xml:space="preserve">2. Objectifs fonctionnels</w:t>
              <w:tab/>
            </w:r>
          </w:hyperlink>
          <w:r w:rsidDel="00000000" w:rsidR="00000000" w:rsidRPr="00000000">
            <w:fldChar w:fldCharType="begin"/>
            <w:instrText xml:space="preserve"> PAGEREF _hn6kiya8dvhz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firstLine="0"/>
            <w:jc w:val="left"/>
            <w:rPr>
              <w:b w:val="1"/>
              <w:color w:val="000000"/>
              <w:u w:val="none"/>
            </w:rPr>
          </w:pPr>
          <w:hyperlink w:anchor="_6hnsj8qcu8es">
            <w:r w:rsidDel="00000000" w:rsidR="00000000" w:rsidRPr="00000000">
              <w:rPr>
                <w:b w:val="1"/>
                <w:color w:val="000000"/>
                <w:u w:val="none"/>
                <w:rtl w:val="0"/>
              </w:rPr>
              <w:t xml:space="preserve">3. Architecture modulaire</w:t>
              <w:tab/>
            </w:r>
          </w:hyperlink>
          <w:r w:rsidDel="00000000" w:rsidR="00000000" w:rsidRPr="00000000">
            <w:fldChar w:fldCharType="begin"/>
            <w:instrText xml:space="preserve"> PAGEREF _6hnsj8qcu8es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firstLine="0"/>
            <w:jc w:val="left"/>
            <w:rPr>
              <w:b w:val="1"/>
              <w:color w:val="000000"/>
              <w:u w:val="none"/>
            </w:rPr>
          </w:pPr>
          <w:hyperlink w:anchor="_w7ttv69mtc28">
            <w:r w:rsidDel="00000000" w:rsidR="00000000" w:rsidRPr="00000000">
              <w:rPr>
                <w:b w:val="1"/>
                <w:color w:val="000000"/>
                <w:u w:val="none"/>
                <w:rtl w:val="0"/>
              </w:rPr>
              <w:t xml:space="preserve">4. Sécurité, conformité et confidentialité</w:t>
              <w:tab/>
            </w:r>
          </w:hyperlink>
          <w:r w:rsidDel="00000000" w:rsidR="00000000" w:rsidRPr="00000000">
            <w:fldChar w:fldCharType="begin"/>
            <w:instrText xml:space="preserve"> PAGEREF _w7ttv69mtc28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firstLine="0"/>
            <w:jc w:val="left"/>
            <w:rPr>
              <w:b w:val="1"/>
              <w:color w:val="000000"/>
              <w:u w:val="none"/>
            </w:rPr>
          </w:pPr>
          <w:hyperlink w:anchor="_ymakzxe0gtul">
            <w:r w:rsidDel="00000000" w:rsidR="00000000" w:rsidRPr="00000000">
              <w:rPr>
                <w:b w:val="1"/>
                <w:color w:val="000000"/>
                <w:u w:val="none"/>
                <w:rtl w:val="0"/>
              </w:rPr>
              <w:t xml:space="preserve">5. Méthodologie projet</w:t>
              <w:tab/>
            </w:r>
          </w:hyperlink>
          <w:r w:rsidDel="00000000" w:rsidR="00000000" w:rsidRPr="00000000">
            <w:fldChar w:fldCharType="begin"/>
            <w:instrText xml:space="preserve"> PAGEREF _ymakzxe0gtul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firstLine="0"/>
            <w:jc w:val="left"/>
            <w:rPr>
              <w:b w:val="1"/>
              <w:color w:val="000000"/>
              <w:u w:val="none"/>
            </w:rPr>
          </w:pPr>
          <w:hyperlink w:anchor="_pdfwcbsmr7gn">
            <w:r w:rsidDel="00000000" w:rsidR="00000000" w:rsidRPr="00000000">
              <w:rPr>
                <w:b w:val="1"/>
                <w:color w:val="000000"/>
                <w:u w:val="none"/>
                <w:rtl w:val="0"/>
              </w:rPr>
              <w:t xml:space="preserve">6. Definition of Done (DoD)</w:t>
              <w:tab/>
            </w:r>
          </w:hyperlink>
          <w:r w:rsidDel="00000000" w:rsidR="00000000" w:rsidRPr="00000000">
            <w:fldChar w:fldCharType="begin"/>
            <w:instrText xml:space="preserve"> PAGEREF _pdfwcbsmr7gn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firstLine="0"/>
            <w:jc w:val="left"/>
            <w:rPr>
              <w:b w:val="1"/>
              <w:color w:val="000000"/>
              <w:u w:val="none"/>
            </w:rPr>
          </w:pPr>
          <w:hyperlink w:anchor="_bfka8efdcjmg">
            <w:r w:rsidDel="00000000" w:rsidR="00000000" w:rsidRPr="00000000">
              <w:rPr>
                <w:b w:val="1"/>
                <w:color w:val="000000"/>
                <w:u w:val="none"/>
                <w:rtl w:val="0"/>
              </w:rPr>
              <w:t xml:space="preserve">7. Infrastructure technique et matérielle</w:t>
              <w:tab/>
            </w:r>
          </w:hyperlink>
          <w:r w:rsidDel="00000000" w:rsidR="00000000" w:rsidRPr="00000000">
            <w:fldChar w:fldCharType="begin"/>
            <w:instrText xml:space="preserve"> PAGEREF _bfka8efdcjmg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firstLine="0"/>
            <w:jc w:val="left"/>
            <w:rPr>
              <w:b w:val="1"/>
              <w:color w:val="000000"/>
              <w:u w:val="none"/>
            </w:rPr>
          </w:pPr>
          <w:hyperlink w:anchor="_er9517n7l9ue">
            <w:r w:rsidDel="00000000" w:rsidR="00000000" w:rsidRPr="00000000">
              <w:rPr>
                <w:b w:val="1"/>
                <w:color w:val="000000"/>
                <w:u w:val="none"/>
                <w:rtl w:val="0"/>
              </w:rPr>
              <w:t xml:space="preserve">8. Conclusion</w:t>
              <w:tab/>
            </w:r>
          </w:hyperlink>
          <w:r w:rsidDel="00000000" w:rsidR="00000000" w:rsidRPr="00000000">
            <w:fldChar w:fldCharType="begin"/>
            <w:instrText xml:space="preserve"> PAGEREF _er9517n7l9ue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ind w:firstLine="0"/>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
        </w:numPr>
        <w:rPr>
          <w:rFonts w:ascii="Calibri" w:cs="Calibri" w:eastAsia="Calibri" w:hAnsi="Calibri"/>
          <w:b w:val="1"/>
          <w:sz w:val="46"/>
          <w:szCs w:val="46"/>
        </w:rPr>
      </w:pPr>
      <w:bookmarkStart w:colFirst="0" w:colLast="0" w:name="_4d1m2en7sqa7" w:id="2"/>
      <w:bookmarkEnd w:id="2"/>
      <w:r w:rsidDel="00000000" w:rsidR="00000000" w:rsidRPr="00000000">
        <w:rPr>
          <w:rFonts w:ascii="Calibri" w:cs="Calibri" w:eastAsia="Calibri" w:hAnsi="Calibri"/>
          <w:b w:val="1"/>
          <w:sz w:val="46"/>
          <w:szCs w:val="46"/>
          <w:rtl w:val="0"/>
        </w:rPr>
        <w:t xml:space="preserve">Contexte général</w:t>
      </w:r>
    </w:p>
    <w:p w:rsidR="00000000" w:rsidDel="00000000" w:rsidP="00000000" w:rsidRDefault="00000000" w:rsidRPr="00000000" w14:paraId="0000001D">
      <w:pPr>
        <w:rPr/>
      </w:pPr>
      <w:r w:rsidDel="00000000" w:rsidR="00000000" w:rsidRPr="00000000">
        <w:rPr>
          <w:rtl w:val="0"/>
        </w:rPr>
        <w:t xml:space="preserve">Corevia est une application de santé numérique centrée sur l'utilisateur, visant à faciliter la gestion quotidienne de la santé pour les patients atteints de maladies chroniques ainsi que pour les utilisateurs soucieux de leur bien-être. Le projet s'inscrit dans une démarche innovante en combinant un suivi médical, des rappels automatisés, un assistant intelligent (IA) pour les symptômes, et des téléconsultations accessibles.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1"/>
        <w:numPr>
          <w:ilvl w:val="0"/>
          <w:numId w:val="1"/>
        </w:numPr>
        <w:spacing w:after="0" w:afterAutospacing="0"/>
        <w:rPr>
          <w:rFonts w:ascii="Calibri" w:cs="Calibri" w:eastAsia="Calibri" w:hAnsi="Calibri"/>
          <w:b w:val="1"/>
          <w:sz w:val="46"/>
          <w:szCs w:val="46"/>
        </w:rPr>
      </w:pPr>
      <w:bookmarkStart w:colFirst="0" w:colLast="0" w:name="_hn6kiya8dvhz" w:id="3"/>
      <w:bookmarkEnd w:id="3"/>
      <w:r w:rsidDel="00000000" w:rsidR="00000000" w:rsidRPr="00000000">
        <w:rPr>
          <w:rFonts w:ascii="Calibri" w:cs="Calibri" w:eastAsia="Calibri" w:hAnsi="Calibri"/>
          <w:b w:val="1"/>
          <w:sz w:val="46"/>
          <w:szCs w:val="46"/>
          <w:rtl w:val="0"/>
        </w:rPr>
        <w:t xml:space="preserve">Objectifs fonctionnels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Offrir un espace personnel sécurisé pour la saisie et le suivi de mesures de santé (glycémie, tension, saturation, etc.). </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Aider à l'observance thérapeutique via des rappels intelligents personnalisés. </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Permettre à l’utilisateur de dialoguer avec un assistant IA pour une première analyse des symptômes. </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Intégrer un moteur de réservation de rendez-vous médicaux filtrés selon les besoins du patient. </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Fournir un accès à la téléconsultation et à des conseils préventifs contextualisés.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pStyle w:val="Heading1"/>
        <w:numPr>
          <w:ilvl w:val="0"/>
          <w:numId w:val="1"/>
        </w:numPr>
        <w:rPr>
          <w:rFonts w:ascii="Calibri" w:cs="Calibri" w:eastAsia="Calibri" w:hAnsi="Calibri"/>
          <w:b w:val="1"/>
          <w:sz w:val="46"/>
          <w:szCs w:val="46"/>
        </w:rPr>
      </w:pPr>
      <w:bookmarkStart w:colFirst="0" w:colLast="0" w:name="_6hnsj8qcu8es" w:id="4"/>
      <w:bookmarkEnd w:id="4"/>
      <w:r w:rsidDel="00000000" w:rsidR="00000000" w:rsidRPr="00000000">
        <w:rPr>
          <w:rFonts w:ascii="Calibri" w:cs="Calibri" w:eastAsia="Calibri" w:hAnsi="Calibri"/>
          <w:b w:val="1"/>
          <w:sz w:val="46"/>
          <w:szCs w:val="46"/>
          <w:rtl w:val="0"/>
        </w:rPr>
        <w:t xml:space="preserve">Architecture modulaire</w:t>
      </w:r>
    </w:p>
    <w:p w:rsidR="00000000" w:rsidDel="00000000" w:rsidP="00000000" w:rsidRDefault="00000000" w:rsidRPr="00000000" w14:paraId="00000027">
      <w:pPr>
        <w:ind w:left="0" w:firstLine="0"/>
        <w:rPr/>
      </w:pPr>
      <w:r w:rsidDel="00000000" w:rsidR="00000000" w:rsidRPr="00000000">
        <w:rPr>
          <w:rtl w:val="0"/>
        </w:rPr>
        <w:t xml:space="preserve">La solution est divisée en cinq grands modules : </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Suivi des constantes : saisie manuelle ou automatique via objets connectés, affichage graphique, export CSV/PDF. </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Analyse de symptômes : chatbot IA orienté patient, orientant selon les cas vers la consultation ou les urgences. </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Prise de rendez-vous : moteur de recherche filtrable (spécialité, géolocalisation, langue), intégration agenda. </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Conseils bien-être : recommandations hygiéno-diététiques personnalisées. </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Téléconsultation : interface vidéo, partage de documents, notifications push.</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1"/>
        <w:numPr>
          <w:ilvl w:val="0"/>
          <w:numId w:val="1"/>
        </w:numPr>
        <w:spacing w:after="0" w:afterAutospacing="0"/>
        <w:rPr>
          <w:rFonts w:ascii="Calibri" w:cs="Calibri" w:eastAsia="Calibri" w:hAnsi="Calibri"/>
          <w:b w:val="1"/>
          <w:sz w:val="46"/>
          <w:szCs w:val="46"/>
        </w:rPr>
      </w:pPr>
      <w:bookmarkStart w:colFirst="0" w:colLast="0" w:name="_w7ttv69mtc28" w:id="5"/>
      <w:bookmarkEnd w:id="5"/>
      <w:r w:rsidDel="00000000" w:rsidR="00000000" w:rsidRPr="00000000">
        <w:rPr>
          <w:rFonts w:ascii="Calibri" w:cs="Calibri" w:eastAsia="Calibri" w:hAnsi="Calibri"/>
          <w:b w:val="1"/>
          <w:sz w:val="46"/>
          <w:szCs w:val="46"/>
          <w:rtl w:val="0"/>
        </w:rPr>
        <w:t xml:space="preserve">Sécurité, conformité et confidentialité</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Authentification par OAuth2 et gestion des sessions via JWT. </w:t>
      </w:r>
    </w:p>
    <w:p w:rsidR="00000000" w:rsidDel="00000000" w:rsidP="00000000" w:rsidRDefault="00000000" w:rsidRPr="00000000" w14:paraId="00000030">
      <w:pPr>
        <w:numPr>
          <w:ilvl w:val="0"/>
          <w:numId w:val="8"/>
        </w:numPr>
        <w:ind w:left="720" w:hanging="360"/>
        <w:rPr>
          <w:u w:val="none"/>
        </w:rPr>
      </w:pPr>
      <w:r w:rsidDel="00000000" w:rsidR="00000000" w:rsidRPr="00000000">
        <w:rPr>
          <w:rtl w:val="0"/>
        </w:rPr>
        <w:t xml:space="preserve">Chiffrement TLS 1.2+ et AES-256 pour les données sensibles. </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Hébergement HDS obligatoire pour les données nominatives (conformité RGPD). </w:t>
      </w:r>
    </w:p>
    <w:p w:rsidR="00000000" w:rsidDel="00000000" w:rsidP="00000000" w:rsidRDefault="00000000" w:rsidRPr="00000000" w14:paraId="00000032">
      <w:pPr>
        <w:numPr>
          <w:ilvl w:val="0"/>
          <w:numId w:val="8"/>
        </w:numPr>
        <w:ind w:left="720" w:hanging="360"/>
        <w:rPr>
          <w:u w:val="none"/>
        </w:rPr>
      </w:pPr>
      <w:r w:rsidDel="00000000" w:rsidR="00000000" w:rsidRPr="00000000">
        <w:rPr>
          <w:rtl w:val="0"/>
        </w:rPr>
        <w:t xml:space="preserve">Audit de sécurité régulière, journalisation des accès et tests d’intrusion planifiés. </w:t>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Respect des directives européennes MDR si l’IA devient décisionnelle.</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1"/>
        <w:numPr>
          <w:ilvl w:val="0"/>
          <w:numId w:val="1"/>
        </w:numPr>
        <w:spacing w:after="0" w:afterAutospacing="0"/>
        <w:rPr>
          <w:rFonts w:ascii="Calibri" w:cs="Calibri" w:eastAsia="Calibri" w:hAnsi="Calibri"/>
          <w:b w:val="1"/>
          <w:sz w:val="46"/>
          <w:szCs w:val="46"/>
        </w:rPr>
      </w:pPr>
      <w:bookmarkStart w:colFirst="0" w:colLast="0" w:name="_ymakzxe0gtul" w:id="6"/>
      <w:bookmarkEnd w:id="6"/>
      <w:r w:rsidDel="00000000" w:rsidR="00000000" w:rsidRPr="00000000">
        <w:rPr>
          <w:rFonts w:ascii="Calibri" w:cs="Calibri" w:eastAsia="Calibri" w:hAnsi="Calibri"/>
          <w:b w:val="1"/>
          <w:sz w:val="46"/>
          <w:szCs w:val="46"/>
          <w:rtl w:val="0"/>
        </w:rPr>
        <w:t xml:space="preserve">Méthodologie projet</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Approche Agile Scrum avec itérations de 2 semaines, backlog vivant dans Notion. </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Intégration continue/déploiement continu (CI/CD) automatisés via GitLab CI. </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Déploiement par conteneurs Docker, orchestrés en production via Kubernetes (ArgoCD). </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Rétrospectives régulières et documentation systématisée des API (Swagger). </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Pilotage qualité : relectures de code obligatoires, tests automatisés à chaque merge. </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1"/>
        <w:numPr>
          <w:ilvl w:val="0"/>
          <w:numId w:val="1"/>
        </w:numPr>
        <w:rPr>
          <w:rFonts w:ascii="Calibri" w:cs="Calibri" w:eastAsia="Calibri" w:hAnsi="Calibri"/>
          <w:b w:val="1"/>
          <w:sz w:val="46"/>
          <w:szCs w:val="46"/>
        </w:rPr>
      </w:pPr>
      <w:bookmarkStart w:colFirst="0" w:colLast="0" w:name="_pdfwcbsmr7gn" w:id="7"/>
      <w:bookmarkEnd w:id="7"/>
      <w:r w:rsidDel="00000000" w:rsidR="00000000" w:rsidRPr="00000000">
        <w:rPr>
          <w:rFonts w:ascii="Calibri" w:cs="Calibri" w:eastAsia="Calibri" w:hAnsi="Calibri"/>
          <w:b w:val="1"/>
          <w:sz w:val="46"/>
          <w:szCs w:val="46"/>
          <w:rtl w:val="0"/>
        </w:rPr>
        <w:t xml:space="preserve">Definition of Done (DoD)</w:t>
      </w:r>
    </w:p>
    <w:p w:rsidR="00000000" w:rsidDel="00000000" w:rsidP="00000000" w:rsidRDefault="00000000" w:rsidRPr="00000000" w14:paraId="0000003D">
      <w:pPr>
        <w:ind w:left="0" w:firstLine="0"/>
        <w:rPr/>
      </w:pPr>
      <w:r w:rsidDel="00000000" w:rsidR="00000000" w:rsidRPr="00000000">
        <w:rPr>
          <w:rtl w:val="0"/>
        </w:rPr>
        <w:t xml:space="preserve">Une fonctionnalité est considérée "faite" si : </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Elle est couverte par des tests unitaires et d’intégration avec taux de couverture ≥ 80 %. </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Elle respecte les règles de sécurité (authentification, chiffrement, logs). </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Elle est validée par au moins une relecture de code. </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Elle est déployée avec succès en environnement de recette sans anomalies critiques.</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La documentation associée est disponible (fonctionnelle et technique).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pStyle w:val="Heading1"/>
        <w:numPr>
          <w:ilvl w:val="0"/>
          <w:numId w:val="1"/>
        </w:numPr>
        <w:rPr>
          <w:rFonts w:ascii="Calibri" w:cs="Calibri" w:eastAsia="Calibri" w:hAnsi="Calibri"/>
          <w:b w:val="1"/>
          <w:sz w:val="46"/>
          <w:szCs w:val="46"/>
        </w:rPr>
      </w:pPr>
      <w:bookmarkStart w:colFirst="0" w:colLast="0" w:name="_bfka8efdcjmg" w:id="8"/>
      <w:bookmarkEnd w:id="8"/>
      <w:r w:rsidDel="00000000" w:rsidR="00000000" w:rsidRPr="00000000">
        <w:rPr>
          <w:rFonts w:ascii="Calibri" w:cs="Calibri" w:eastAsia="Calibri" w:hAnsi="Calibri"/>
          <w:b w:val="1"/>
          <w:sz w:val="46"/>
          <w:szCs w:val="46"/>
          <w:rtl w:val="0"/>
        </w:rPr>
        <w:t xml:space="preserve">Infrastructure technique et matérielle</w:t>
      </w:r>
    </w:p>
    <w:p w:rsidR="00000000" w:rsidDel="00000000" w:rsidP="00000000" w:rsidRDefault="00000000" w:rsidRPr="00000000" w14:paraId="00000045">
      <w:pPr>
        <w:ind w:left="0" w:firstLine="0"/>
        <w:rPr/>
      </w:pPr>
      <w:r w:rsidDel="00000000" w:rsidR="00000000" w:rsidRPr="00000000">
        <w:rPr>
          <w:rtl w:val="0"/>
        </w:rPr>
        <w:t xml:space="preserve">Phase initiale : </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Serveurs cloud standards (Firebase, OVH), base PostgreSQL, tests sur émulateurs Android/iOS. </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Outils gratuits et open-source (VSCode, Postman, GitLab CE).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Phase de montée en charge : </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Hébergement certifié HDS (OVH Santé, AWS HDS), pare-feu, VPN entreprise. </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Parc réel d’appareils mobiles, licences professionnelles (JetBrains, Postman Pro). </w:t>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Monitoring avancé avec Datadog, Sentry, Grafana/Prometheus. </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Chatbot IA médicalisable (Infermedica, Azure Health Bot).</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pStyle w:val="Heading1"/>
        <w:numPr>
          <w:ilvl w:val="0"/>
          <w:numId w:val="1"/>
        </w:numPr>
        <w:rPr>
          <w:rFonts w:ascii="Calibri" w:cs="Calibri" w:eastAsia="Calibri" w:hAnsi="Calibri"/>
          <w:b w:val="1"/>
          <w:sz w:val="46"/>
          <w:szCs w:val="46"/>
        </w:rPr>
      </w:pPr>
      <w:bookmarkStart w:colFirst="0" w:colLast="0" w:name="_er9517n7l9ue" w:id="9"/>
      <w:bookmarkEnd w:id="9"/>
      <w:r w:rsidDel="00000000" w:rsidR="00000000" w:rsidRPr="00000000">
        <w:rPr>
          <w:rFonts w:ascii="Calibri" w:cs="Calibri" w:eastAsia="Calibri" w:hAnsi="Calibri"/>
          <w:b w:val="1"/>
          <w:sz w:val="46"/>
          <w:szCs w:val="46"/>
          <w:rtl w:val="0"/>
        </w:rPr>
        <w:t xml:space="preserve">Conclusion</w:t>
      </w:r>
    </w:p>
    <w:p w:rsidR="00000000" w:rsidDel="00000000" w:rsidP="00000000" w:rsidRDefault="00000000" w:rsidRPr="00000000" w14:paraId="00000050">
      <w:pPr>
        <w:ind w:firstLine="720"/>
        <w:rPr/>
      </w:pPr>
      <w:r w:rsidDel="00000000" w:rsidR="00000000" w:rsidRPr="00000000">
        <w:rPr>
          <w:rtl w:val="0"/>
        </w:rPr>
        <w:t xml:space="preserve">Le projet Corevia s’inscrit dans une démarche rigoureuse mêlant innovation, sécurité et respect des normes médicales européennes. Il repose sur une architecture modulaire robuste, une démarche qualité complète et une attention particulière portée à l’expérience utilisateur comme à la protection des données personnelles.</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283.4645669291338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Medium">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ind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left"/>
      <w:rPr/>
    </w:pPr>
    <w:r w:rsidDel="00000000" w:rsidR="00000000" w:rsidRPr="00000000">
      <w:rPr/>
      <w:drawing>
        <wp:inline distB="114300" distT="114300" distL="114300" distR="114300">
          <wp:extent cx="1366728" cy="272437"/>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6728" cy="27243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92807" cy="366713"/>
          <wp:effectExtent b="0" l="0" r="0" t="0"/>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92807" cy="3667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line="360" w:lineRule="auto"/>
        <w:ind w:firstLine="680.314960629921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pPr>
    <w:rPr>
      <w:rFonts w:ascii="Lexend Medium" w:cs="Lexend Medium" w:eastAsia="Lexend Medium" w:hAnsi="Lexend Medium"/>
      <w:sz w:val="36"/>
      <w:szCs w:val="36"/>
    </w:rPr>
  </w:style>
  <w:style w:type="paragraph" w:styleId="Heading2">
    <w:name w:val="heading 2"/>
    <w:basedOn w:val="Normal"/>
    <w:next w:val="Normal"/>
    <w:pPr>
      <w:keepNext w:val="1"/>
      <w:keepLines w:val="1"/>
      <w:spacing w:after="120" w:before="360" w:lineRule="auto"/>
      <w:ind w:left="720" w:firstLine="0"/>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exendMedium-regular.ttf"/><Relationship Id="rId6" Type="http://schemas.openxmlformats.org/officeDocument/2006/relationships/font" Target="fonts/LexendMedium-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