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68"/>
        <w:gridCol w:w="2645"/>
        <w:gridCol w:w="538"/>
        <w:gridCol w:w="538"/>
        <w:gridCol w:w="2148"/>
        <w:gridCol w:w="538"/>
        <w:gridCol w:w="806"/>
        <w:gridCol w:w="547"/>
        <w:gridCol w:w="790"/>
      </w:tblGrid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pPr>
              <w:rPr>
                <w:b/>
                <w:bCs/>
              </w:rPr>
            </w:pPr>
            <w:r w:rsidRPr="00040A06">
              <w:rPr>
                <w:b/>
                <w:bCs/>
              </w:rPr>
              <w:t>CODIGO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TAREAS</w:t>
            </w:r>
          </w:p>
        </w:tc>
        <w:tc>
          <w:tcPr>
            <w:tcW w:w="538" w:type="dxa"/>
            <w:noWrap/>
            <w:hideMark/>
          </w:tcPr>
          <w:p w:rsidR="00040A06" w:rsidRPr="00040A06" w:rsidRDefault="00040A06" w:rsidP="00040A06"/>
        </w:tc>
        <w:tc>
          <w:tcPr>
            <w:tcW w:w="538" w:type="dxa"/>
            <w:noWrap/>
            <w:hideMark/>
          </w:tcPr>
          <w:p w:rsidR="00040A06" w:rsidRPr="00040A06" w:rsidRDefault="00040A06"/>
        </w:tc>
        <w:tc>
          <w:tcPr>
            <w:tcW w:w="2148" w:type="dxa"/>
            <w:noWrap/>
            <w:hideMark/>
          </w:tcPr>
          <w:p w:rsidR="00040A06" w:rsidRPr="00040A06" w:rsidRDefault="00040A06"/>
        </w:tc>
        <w:tc>
          <w:tcPr>
            <w:tcW w:w="538" w:type="dxa"/>
            <w:noWrap/>
            <w:hideMark/>
          </w:tcPr>
          <w:p w:rsidR="00040A06" w:rsidRPr="00040A06" w:rsidRDefault="00040A06"/>
        </w:tc>
        <w:tc>
          <w:tcPr>
            <w:tcW w:w="806" w:type="dxa"/>
            <w:noWrap/>
            <w:hideMark/>
          </w:tcPr>
          <w:p w:rsidR="00040A06" w:rsidRPr="00040A06" w:rsidRDefault="00040A06"/>
        </w:tc>
        <w:tc>
          <w:tcPr>
            <w:tcW w:w="538" w:type="dxa"/>
            <w:noWrap/>
            <w:hideMark/>
          </w:tcPr>
          <w:p w:rsidR="00040A06" w:rsidRPr="00040A06" w:rsidRDefault="00040A06"/>
        </w:tc>
        <w:tc>
          <w:tcPr>
            <w:tcW w:w="777" w:type="dxa"/>
            <w:noWrap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/>
            <w:hideMark/>
          </w:tcPr>
          <w:p w:rsidR="00040A06" w:rsidRPr="00040A06" w:rsidRDefault="00040A06">
            <w:pPr>
              <w:rPr>
                <w:b/>
                <w:bCs/>
              </w:rPr>
            </w:pPr>
          </w:p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noWrap/>
            <w:hideMark/>
          </w:tcPr>
          <w:p w:rsidR="00040A06" w:rsidRPr="00040A06" w:rsidRDefault="00040A06" w:rsidP="00040A06">
            <w:r w:rsidRPr="00040A06">
              <w:t xml:space="preserve">COMENTARIO </w:t>
            </w:r>
          </w:p>
        </w:tc>
        <w:tc>
          <w:tcPr>
            <w:tcW w:w="1344" w:type="dxa"/>
            <w:gridSpan w:val="2"/>
            <w:noWrap/>
            <w:hideMark/>
          </w:tcPr>
          <w:p w:rsidR="00040A06" w:rsidRPr="00040A06" w:rsidRDefault="00040A06" w:rsidP="00040A06">
            <w:r w:rsidRPr="00040A06">
              <w:t xml:space="preserve">TIEMPO ESTIMADO EN DIAS </w:t>
            </w:r>
          </w:p>
        </w:tc>
        <w:tc>
          <w:tcPr>
            <w:tcW w:w="1315" w:type="dxa"/>
            <w:gridSpan w:val="2"/>
            <w:noWrap/>
            <w:hideMark/>
          </w:tcPr>
          <w:p w:rsidR="00040A06" w:rsidRPr="00040A06" w:rsidRDefault="00040A06" w:rsidP="00040A06">
            <w:r w:rsidRPr="00040A06">
              <w:t>ELABORADO</w:t>
            </w:r>
          </w:p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1-1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Debe adaptarse a la imagen de la empresa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El software debe limitarse a usar los colores y emblemas de la empresa 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1-2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Debe mostrar los destinos con cobertura para envió de productos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>Debe mostrar la base de datos con los sitios permitidos para el envió de productos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15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1-3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tener cuadros especializados para el ingreso de datos de envió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tener un diseño minimalista y de fácil comprensión para todos los usuarios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8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1-4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internamente confirmar que la dirección ingresada es válida y existente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Verificar en la base de datos, que el sitio escogido tenga cobertura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1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1-5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permitir la selección del número de productos a enviar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Se podrá escoger el envió de 1 o más productos a la vez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1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1-6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mostrar los precios específicos de envió de cada producto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mostrará un cotización aproximada del precio del envió al cliente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T 1-7 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Debe permitir ingresar el método de pago del envió a realizar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El cliente debe tener la posibilidad de pagar con distintos métodos como tarjeta o efectivo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3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1-8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mostrar fechas aproximadas de la llegada del producto a su destino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El software calculara una fecha estimada de la llegada del paquete a su destino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1-9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Internamente debe validar la consignación y acreditación del dinero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Se hará un chequeo de que el dinero ingresado a la plataforma es verídico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2-0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Debe mostrar la confirmación del envió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Mostrará un cuadro de confirmación del envió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2-1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mostrar el número de guía del producto para el rastreo del envió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>El número de guía permitirá al cliente saber en qué lugar viene su paquete.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2-2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verificar que el producto llego a su destino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El transportador debe confirmar que el envió fue entregado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1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</w:tbl>
    <w:p w:rsidR="00040A06" w:rsidRDefault="00040A06"/>
    <w:p w:rsidR="00040A06" w:rsidRPr="00040A06" w:rsidRDefault="00040A06" w:rsidP="00040A06"/>
    <w:p w:rsidR="00040A06" w:rsidRDefault="00040A06" w:rsidP="00040A06"/>
    <w:p w:rsidR="00D507D3" w:rsidRDefault="00040A06" w:rsidP="00040A06">
      <w:pPr>
        <w:jc w:val="center"/>
      </w:pPr>
    </w:p>
    <w:p w:rsidR="00040A06" w:rsidRDefault="00040A06" w:rsidP="00040A06">
      <w:pPr>
        <w:jc w:val="center"/>
      </w:pPr>
    </w:p>
    <w:p w:rsidR="00040A06" w:rsidRDefault="00040A06" w:rsidP="00040A06">
      <w:pPr>
        <w:jc w:val="center"/>
      </w:pPr>
      <w:r>
        <w:t xml:space="preserve">MAPA DE PROCESOS </w:t>
      </w:r>
    </w:p>
    <w:p w:rsidR="00040A06" w:rsidRDefault="00040A06" w:rsidP="00040A06"/>
    <w:p w:rsidR="00040A06" w:rsidRDefault="00040A06" w:rsidP="00040A06">
      <w:r>
        <w:rPr>
          <w:noProof/>
          <w:lang w:eastAsia="es-CO"/>
        </w:rPr>
        <w:drawing>
          <wp:inline distT="0" distB="0" distL="0" distR="0">
            <wp:extent cx="6164580" cy="34673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DE IMPAC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34" cy="34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>
      <w:r>
        <w:lastRenderedPageBreak/>
        <w:t>REGISTRO EN GITHUB</w:t>
      </w:r>
      <w:r>
        <w:rPr>
          <w:noProof/>
          <w:lang w:eastAsia="es-CO"/>
        </w:rPr>
        <w:drawing>
          <wp:inline distT="0" distB="0" distL="0" distR="0" wp14:anchorId="214583ED" wp14:editId="02E2E56E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BA978DC" wp14:editId="0F8E8A22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06" w:rsidRPr="00040A06" w:rsidRDefault="00040A06" w:rsidP="00040A06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0A06" w:rsidRPr="00040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06"/>
    <w:rsid w:val="00040A06"/>
    <w:rsid w:val="0005717A"/>
    <w:rsid w:val="0037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4BA3"/>
  <w15:chartTrackingRefBased/>
  <w15:docId w15:val="{DF25CA1B-3F5E-4741-940D-E53E617A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 UDEC</dc:creator>
  <cp:keywords/>
  <dc:description/>
  <cp:lastModifiedBy>ESTUDIANTES UDEC</cp:lastModifiedBy>
  <cp:revision>1</cp:revision>
  <dcterms:created xsi:type="dcterms:W3CDTF">2019-09-18T13:37:00Z</dcterms:created>
  <dcterms:modified xsi:type="dcterms:W3CDTF">2019-09-18T13:45:00Z</dcterms:modified>
</cp:coreProperties>
</file>