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622A" w14:textId="77777777" w:rsidR="009323E9" w:rsidRDefault="00780A7B">
      <w:pPr>
        <w:spacing w:line="240" w:lineRule="auto"/>
        <w:ind w:left="-360"/>
        <w:jc w:val="center"/>
        <w:rPr>
          <w:rFonts w:ascii="Calibri" w:eastAsia="Calibri" w:hAnsi="Calibri" w:cs="Calibri"/>
          <w:b/>
          <w:color w:val="0C343D"/>
          <w:sz w:val="60"/>
          <w:szCs w:val="60"/>
        </w:rPr>
      </w:pPr>
      <w:r>
        <w:rPr>
          <w:rFonts w:ascii="Calibri" w:eastAsia="Calibri" w:hAnsi="Calibri" w:cs="Calibri"/>
          <w:b/>
          <w:color w:val="0C343D"/>
          <w:sz w:val="60"/>
          <w:szCs w:val="60"/>
        </w:rPr>
        <w:t>GEORGE GYAMFI</w:t>
      </w:r>
    </w:p>
    <w:p w14:paraId="1985B702" w14:textId="77777777" w:rsidR="009323E9" w:rsidRDefault="00780A7B">
      <w:pPr>
        <w:spacing w:line="240" w:lineRule="auto"/>
        <w:ind w:left="-360" w:right="-450"/>
        <w:jc w:val="center"/>
        <w:rPr>
          <w:rFonts w:ascii="Calibri" w:eastAsia="Calibri" w:hAnsi="Calibri" w:cs="Calibri"/>
          <w:b/>
          <w:color w:val="0C343D"/>
          <w:sz w:val="24"/>
          <w:szCs w:val="24"/>
        </w:rPr>
      </w:pPr>
      <w:r>
        <w:rPr>
          <w:rFonts w:ascii="Calibri" w:eastAsia="Calibri" w:hAnsi="Calibri" w:cs="Calibri"/>
          <w:b/>
          <w:color w:val="0C343D"/>
          <w:sz w:val="24"/>
          <w:szCs w:val="24"/>
        </w:rPr>
        <w:t>Emporia, Kansas | +1 620 366 4486 |</w:t>
      </w:r>
      <w:r>
        <w:rPr>
          <w:rFonts w:ascii="Calibri" w:eastAsia="Calibri" w:hAnsi="Calibri" w:cs="Calibri"/>
          <w:b/>
          <w:noProof/>
          <w:color w:val="0C343D"/>
          <w:sz w:val="24"/>
          <w:szCs w:val="24"/>
        </w:rPr>
        <w:drawing>
          <wp:inline distT="114300" distB="114300" distL="114300" distR="114300" wp14:anchorId="0E529623" wp14:editId="11567524">
            <wp:extent cx="238125" cy="238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>
        <w:r>
          <w:rPr>
            <w:rFonts w:ascii="Calibri" w:eastAsia="Calibri" w:hAnsi="Calibri" w:cs="Calibri"/>
            <w:b/>
            <w:color w:val="0C343D"/>
            <w:sz w:val="24"/>
            <w:szCs w:val="24"/>
            <w:u w:val="single"/>
          </w:rPr>
          <w:t>ggyamfi@g.emporia.edu</w:t>
        </w:r>
      </w:hyperlink>
      <w:r>
        <w:rPr>
          <w:rFonts w:ascii="Calibri" w:eastAsia="Calibri" w:hAnsi="Calibri" w:cs="Calibri"/>
          <w:b/>
          <w:color w:val="0C343D"/>
          <w:sz w:val="24"/>
          <w:szCs w:val="24"/>
        </w:rPr>
        <w:t xml:space="preserve"> |</w:t>
      </w:r>
      <w:r>
        <w:rPr>
          <w:rFonts w:ascii="Calibri" w:eastAsia="Calibri" w:hAnsi="Calibri" w:cs="Calibri"/>
          <w:b/>
          <w:noProof/>
          <w:color w:val="0C343D"/>
          <w:sz w:val="24"/>
          <w:szCs w:val="24"/>
        </w:rPr>
        <w:drawing>
          <wp:inline distT="114300" distB="114300" distL="114300" distR="114300" wp14:anchorId="3CD890F0" wp14:editId="5B3D1D21">
            <wp:extent cx="195897" cy="200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97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8">
        <w:r>
          <w:rPr>
            <w:rFonts w:ascii="Calibri" w:eastAsia="Calibri" w:hAnsi="Calibri" w:cs="Calibri"/>
            <w:b/>
            <w:color w:val="0C343D"/>
            <w:sz w:val="24"/>
            <w:szCs w:val="24"/>
            <w:u w:val="single"/>
          </w:rPr>
          <w:t>https://github.com/geogya</w:t>
        </w:r>
      </w:hyperlink>
      <w:r>
        <w:rPr>
          <w:rFonts w:ascii="Calibri" w:eastAsia="Calibri" w:hAnsi="Calibri" w:cs="Calibri"/>
          <w:b/>
          <w:color w:val="0C343D"/>
          <w:sz w:val="24"/>
          <w:szCs w:val="24"/>
        </w:rPr>
        <w:t xml:space="preserve">|  </w:t>
      </w:r>
      <w:r>
        <w:rPr>
          <w:rFonts w:ascii="Calibri" w:eastAsia="Calibri" w:hAnsi="Calibri" w:cs="Calibri"/>
          <w:b/>
          <w:noProof/>
          <w:color w:val="0C343D"/>
          <w:sz w:val="24"/>
          <w:szCs w:val="24"/>
        </w:rPr>
        <w:drawing>
          <wp:inline distT="114300" distB="114300" distL="114300" distR="114300" wp14:anchorId="529361F0" wp14:editId="7B21240D">
            <wp:extent cx="1905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rFonts w:ascii="Calibri" w:eastAsia="Calibri" w:hAnsi="Calibri" w:cs="Calibri"/>
            <w:b/>
            <w:color w:val="0C343D"/>
            <w:sz w:val="24"/>
            <w:szCs w:val="24"/>
            <w:u w:val="single"/>
          </w:rPr>
          <w:t>https://www.linkedin.com/in/george-gyamfi-0434b98a/</w:t>
        </w:r>
      </w:hyperlink>
    </w:p>
    <w:p w14:paraId="39CA81B9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color w:val="0C343D"/>
          <w:sz w:val="32"/>
          <w:szCs w:val="32"/>
        </w:rPr>
      </w:pPr>
      <w:r>
        <w:rPr>
          <w:rFonts w:ascii="Calibri" w:eastAsia="Calibri" w:hAnsi="Calibri" w:cs="Calibri"/>
          <w:b/>
          <w:color w:val="0C343D"/>
          <w:sz w:val="32"/>
          <w:szCs w:val="32"/>
        </w:rPr>
        <w:t>SUMMARY</w:t>
      </w:r>
    </w:p>
    <w:p w14:paraId="28DF6050" w14:textId="2836647A" w:rsidR="009323E9" w:rsidRDefault="00780A7B">
      <w:pPr>
        <w:ind w:left="-360" w:right="-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Analyst with expertise in statistical analysis, data visualization, and programming languages such as SQL,</w:t>
      </w:r>
      <w:r>
        <w:rPr>
          <w:rFonts w:ascii="Calibri" w:eastAsia="Calibri" w:hAnsi="Calibri" w:cs="Calibri"/>
          <w:sz w:val="24"/>
          <w:szCs w:val="24"/>
        </w:rPr>
        <w:t xml:space="preserve"> and R. Skilled in working with diverse data sources and using data to develop forecasting models, optimize marketing strategies, and imp</w:t>
      </w:r>
      <w:r>
        <w:rPr>
          <w:rFonts w:ascii="Calibri" w:eastAsia="Calibri" w:hAnsi="Calibri" w:cs="Calibri"/>
          <w:sz w:val="24"/>
          <w:szCs w:val="24"/>
        </w:rPr>
        <w:t xml:space="preserve">rove business operations. Strong attention to detail and communication skills enable the ability to present complex data in a clear and concise manner to both technical and non-technical stakeholders. Committed to staying up-to-date with the latest trends </w:t>
      </w:r>
      <w:r>
        <w:rPr>
          <w:rFonts w:ascii="Calibri" w:eastAsia="Calibri" w:hAnsi="Calibri" w:cs="Calibri"/>
          <w:sz w:val="24"/>
          <w:szCs w:val="24"/>
        </w:rPr>
        <w:t>and techniques in data analysis, always looking for ways to improve skills and knowledge. A valuable asset to any organization seeking to make data-driven decisions.</w:t>
      </w:r>
    </w:p>
    <w:p w14:paraId="1C7EA931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color w:val="0C343D"/>
          <w:sz w:val="32"/>
          <w:szCs w:val="32"/>
        </w:rPr>
      </w:pPr>
      <w:r>
        <w:rPr>
          <w:rFonts w:ascii="Calibri" w:eastAsia="Calibri" w:hAnsi="Calibri" w:cs="Calibri"/>
          <w:b/>
          <w:color w:val="0C343D"/>
          <w:sz w:val="32"/>
          <w:szCs w:val="32"/>
        </w:rPr>
        <w:t>EDUCATION</w:t>
      </w:r>
    </w:p>
    <w:p w14:paraId="422D8542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MASTERS</w:t>
      </w:r>
    </w:p>
    <w:p w14:paraId="675E0140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M.Sc. Informatics – Quantitative Economics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Emporia, USA</w:t>
      </w:r>
    </w:p>
    <w:p w14:paraId="1C62F102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Emporia State University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</w:t>
      </w:r>
      <w:r>
        <w:rPr>
          <w:rFonts w:ascii="Calibri" w:eastAsia="Calibri" w:hAnsi="Calibri" w:cs="Calibri"/>
          <w:sz w:val="24"/>
          <w:szCs w:val="24"/>
        </w:rPr>
        <w:t>2022 - Present</w:t>
      </w:r>
    </w:p>
    <w:p w14:paraId="1AC49DC4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Master of Business Administration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Budapest, Hungary</w:t>
      </w:r>
    </w:p>
    <w:p w14:paraId="03E518FC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Corvinus University of Budapest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2020 - 2022</w:t>
      </w:r>
    </w:p>
    <w:p w14:paraId="06FC388B" w14:textId="77777777" w:rsidR="009323E9" w:rsidRDefault="009323E9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</w:p>
    <w:p w14:paraId="1511DA6E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BACHELORS</w:t>
      </w:r>
    </w:p>
    <w:p w14:paraId="68F56EB2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Bachelor of Business Administration (Accounting Major)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Accra, Ghana</w:t>
      </w:r>
    </w:p>
    <w:p w14:paraId="2AA4A078" w14:textId="298BF918" w:rsidR="009323E9" w:rsidRDefault="00780A7B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Valley View University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2007 - 2011</w:t>
      </w:r>
    </w:p>
    <w:p w14:paraId="08ACF476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color w:val="0C343D"/>
          <w:sz w:val="32"/>
          <w:szCs w:val="32"/>
        </w:rPr>
        <w:t>PROFESSIONAL WORK EXPERIENCE</w:t>
      </w:r>
    </w:p>
    <w:p w14:paraId="6E2B16AD" w14:textId="77777777" w:rsidR="009323E9" w:rsidRDefault="00780A7B">
      <w:pPr>
        <w:ind w:left="-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Ghana Education Service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March 2018 - September 2020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Principal Accountant              </w:t>
      </w:r>
    </w:p>
    <w:p w14:paraId="0611D374" w14:textId="77777777" w:rsidR="009323E9" w:rsidRDefault="009323E9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</w:p>
    <w:p w14:paraId="74E9AC21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RESPONSIBILITIES</w:t>
      </w:r>
    </w:p>
    <w:p w14:paraId="437D6786" w14:textId="77777777" w:rsidR="009323E9" w:rsidRDefault="00780A7B">
      <w:pPr>
        <w:numPr>
          <w:ilvl w:val="0"/>
          <w:numId w:val="2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Recorded financial transactions and prepared annual financial statements.</w:t>
      </w:r>
    </w:p>
    <w:p w14:paraId="3CF94B22" w14:textId="77777777" w:rsidR="009323E9" w:rsidRDefault="00780A7B">
      <w:pPr>
        <w:numPr>
          <w:ilvl w:val="0"/>
          <w:numId w:val="2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Prepared monthly and quarterly financial returns.</w:t>
      </w:r>
    </w:p>
    <w:p w14:paraId="42C42DD2" w14:textId="77777777" w:rsidR="009323E9" w:rsidRDefault="00780A7B">
      <w:pPr>
        <w:numPr>
          <w:ilvl w:val="0"/>
          <w:numId w:val="2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Maintained and reconciled payments and receipts cash books.</w:t>
      </w:r>
    </w:p>
    <w:p w14:paraId="7B1E9C4A" w14:textId="77777777" w:rsidR="009323E9" w:rsidRDefault="00780A7B">
      <w:pPr>
        <w:numPr>
          <w:ilvl w:val="0"/>
          <w:numId w:val="2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Redesigned and improved invoice processing procedures to ensure timeliness.</w:t>
      </w:r>
    </w:p>
    <w:p w14:paraId="605EBC44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Achievement</w:t>
      </w:r>
    </w:p>
    <w:p w14:paraId="2D69606F" w14:textId="77777777" w:rsidR="009323E9" w:rsidRDefault="00780A7B">
      <w:pPr>
        <w:numPr>
          <w:ilvl w:val="0"/>
          <w:numId w:val="3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Automated monthly reconciliation returns with Microsoft Excel reducing errors in the process.</w:t>
      </w:r>
    </w:p>
    <w:p w14:paraId="3EA55319" w14:textId="77777777" w:rsidR="009323E9" w:rsidRDefault="00780A7B">
      <w:pPr>
        <w:ind w:left="-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Contra Foc</w:t>
      </w:r>
      <w:r>
        <w:rPr>
          <w:rFonts w:ascii="Calibri" w:eastAsia="Calibri" w:hAnsi="Calibri" w:cs="Calibri"/>
          <w:b/>
          <w:sz w:val="24"/>
          <w:szCs w:val="24"/>
        </w:rPr>
        <w:t xml:space="preserve">us Limited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March 2017 - February 2018 </w:t>
      </w:r>
      <w:r>
        <w:rPr>
          <w:rFonts w:ascii="Calibri" w:eastAsia="Calibri" w:hAnsi="Calibri" w:cs="Calibri"/>
          <w:sz w:val="24"/>
          <w:szCs w:val="24"/>
        </w:rPr>
        <w:t xml:space="preserve">Accounts Clerk </w:t>
      </w:r>
    </w:p>
    <w:p w14:paraId="6771B893" w14:textId="77777777" w:rsidR="009323E9" w:rsidRDefault="009323E9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0C2DF15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RESPONSIBILITIES</w:t>
      </w:r>
    </w:p>
    <w:p w14:paraId="1EF4EFE3" w14:textId="77777777" w:rsidR="009323E9" w:rsidRDefault="00780A7B">
      <w:pPr>
        <w:numPr>
          <w:ilvl w:val="0"/>
          <w:numId w:val="1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Prepared payroll</w:t>
      </w:r>
    </w:p>
    <w:p w14:paraId="35A3A757" w14:textId="77777777" w:rsidR="009323E9" w:rsidRDefault="00780A7B">
      <w:pPr>
        <w:numPr>
          <w:ilvl w:val="0"/>
          <w:numId w:val="1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Filed statutory company returns</w:t>
      </w:r>
    </w:p>
    <w:p w14:paraId="62578035" w14:textId="77777777" w:rsidR="009323E9" w:rsidRDefault="00780A7B">
      <w:pPr>
        <w:numPr>
          <w:ilvl w:val="0"/>
          <w:numId w:val="1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Maintained Accounts Payables and Receivables</w:t>
      </w:r>
    </w:p>
    <w:p w14:paraId="51DE55A8" w14:textId="77777777" w:rsidR="009323E9" w:rsidRDefault="009323E9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</w:p>
    <w:p w14:paraId="5988F728" w14:textId="77777777" w:rsidR="009323E9" w:rsidRDefault="00780A7B">
      <w:pPr>
        <w:ind w:left="-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GN Bank Limited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April 2016 - February 2017</w:t>
      </w:r>
    </w:p>
    <w:p w14:paraId="767E8D4C" w14:textId="77777777" w:rsidR="009323E9" w:rsidRDefault="00780A7B">
      <w:pPr>
        <w:ind w:left="-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Retail Banker</w:t>
      </w:r>
    </w:p>
    <w:p w14:paraId="6FFF9FA8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RESPONSIBILITIES</w:t>
      </w:r>
    </w:p>
    <w:p w14:paraId="3C9CE465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Started and managed 2 new bank locations.</w:t>
      </w:r>
    </w:p>
    <w:p w14:paraId="69F2D3FA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Ensured compliance with statutory banking regulations.</w:t>
      </w:r>
    </w:p>
    <w:p w14:paraId="23BAFD22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Prepared daily, weekly and monthly branch performance reports.</w:t>
      </w:r>
    </w:p>
    <w:p w14:paraId="578DB6A0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Audited and posted daily mobilization.</w:t>
      </w:r>
    </w:p>
    <w:p w14:paraId="72A3F795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Supervised inter branch movement of </w:t>
      </w:r>
      <w:r>
        <w:rPr>
          <w:rFonts w:ascii="Calibri" w:eastAsia="Calibri" w:hAnsi="Calibri" w:cs="Calibri"/>
          <w:sz w:val="24"/>
          <w:szCs w:val="24"/>
        </w:rPr>
        <w:t>bulk cash.</w:t>
      </w:r>
    </w:p>
    <w:p w14:paraId="175DF8B5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Maintained treasury book.</w:t>
      </w:r>
    </w:p>
    <w:p w14:paraId="0B1AE8B0" w14:textId="77777777" w:rsidR="009323E9" w:rsidRDefault="00780A7B">
      <w:pPr>
        <w:numPr>
          <w:ilvl w:val="0"/>
          <w:numId w:val="4"/>
        </w:numPr>
        <w:ind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Planned and executed locations sales and promotions.</w:t>
      </w:r>
    </w:p>
    <w:p w14:paraId="225D4C81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color w:val="0C343D"/>
          <w:sz w:val="32"/>
          <w:szCs w:val="32"/>
        </w:rPr>
      </w:pPr>
      <w:r>
        <w:rPr>
          <w:rFonts w:ascii="Calibri" w:eastAsia="Calibri" w:hAnsi="Calibri" w:cs="Calibri"/>
          <w:b/>
          <w:color w:val="0C343D"/>
          <w:sz w:val="32"/>
          <w:szCs w:val="32"/>
        </w:rPr>
        <w:t>SKILLS</w:t>
      </w:r>
    </w:p>
    <w:p w14:paraId="704CBCEA" w14:textId="77777777" w:rsidR="009323E9" w:rsidRDefault="00780A7B">
      <w:pPr>
        <w:pBdr>
          <w:top w:val="nil"/>
          <w:left w:val="nil"/>
          <w:bottom w:val="nil"/>
          <w:right w:val="nil"/>
          <w:between w:val="nil"/>
        </w:pBd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R, Excel, SQL, Tableau, Power BI, </w:t>
      </w:r>
      <w:r>
        <w:rPr>
          <w:rFonts w:ascii="Times New Roman" w:eastAsia="Times New Roman" w:hAnsi="Times New Roman" w:cs="Times New Roman"/>
          <w:sz w:val="19"/>
          <w:szCs w:val="19"/>
        </w:rPr>
        <w:t>QuickBooks</w:t>
      </w:r>
      <w:r>
        <w:rPr>
          <w:rFonts w:ascii="Calibri" w:eastAsia="Calibri" w:hAnsi="Calibri" w:cs="Calibri"/>
          <w:sz w:val="24"/>
          <w:szCs w:val="24"/>
        </w:rPr>
        <w:t>, and GitHub</w:t>
      </w:r>
    </w:p>
    <w:p w14:paraId="4AF844DC" w14:textId="77777777" w:rsidR="009323E9" w:rsidRDefault="00780A7B">
      <w:pPr>
        <w:spacing w:before="240"/>
        <w:ind w:left="-36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color w:val="0C343D"/>
          <w:sz w:val="32"/>
          <w:szCs w:val="32"/>
        </w:rPr>
        <w:t>PROFESSIONAL DEVELOPMENT AND CERTIFICATIONS</w:t>
      </w:r>
    </w:p>
    <w:p w14:paraId="31767C79" w14:textId="1BE32039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 Science and Machine Learning 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Fundamentals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January 2023</w:t>
      </w:r>
    </w:p>
    <w:p w14:paraId="2991EB8D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CFA INSTITUTE</w:t>
      </w:r>
    </w:p>
    <w:p w14:paraId="5E063F89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Introduction to Business Intelligence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July 2022</w:t>
      </w:r>
    </w:p>
    <w:p w14:paraId="30C05744" w14:textId="77777777" w:rsidR="009323E9" w:rsidRDefault="00780A7B">
      <w:pPr>
        <w:ind w:left="-360" w:right="1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CFA INSTITUTE    </w:t>
      </w:r>
    </w:p>
    <w:p w14:paraId="5DE0A624" w14:textId="77777777" w:rsidR="009323E9" w:rsidRDefault="009323E9">
      <w:pPr>
        <w:ind w:left="-360"/>
        <w:rPr>
          <w:rFonts w:ascii="Calibri" w:eastAsia="Calibri" w:hAnsi="Calibri" w:cs="Calibri"/>
          <w:sz w:val="24"/>
          <w:szCs w:val="24"/>
        </w:rPr>
      </w:pPr>
    </w:p>
    <w:sectPr w:rsidR="009323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6BE"/>
    <w:multiLevelType w:val="multilevel"/>
    <w:tmpl w:val="109A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3778D"/>
    <w:multiLevelType w:val="multilevel"/>
    <w:tmpl w:val="72327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F78C3"/>
    <w:multiLevelType w:val="multilevel"/>
    <w:tmpl w:val="353E0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EA05E7"/>
    <w:multiLevelType w:val="multilevel"/>
    <w:tmpl w:val="4D54F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E9"/>
    <w:rsid w:val="00494E08"/>
    <w:rsid w:val="00780A7B"/>
    <w:rsid w:val="009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573A"/>
  <w15:docId w15:val="{A10F0B34-7844-4647-AA4D-B8CDCD4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g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gyamfi@g.emporia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george-gyamfi-0434b98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Gyamfi</cp:lastModifiedBy>
  <cp:revision>3</cp:revision>
  <dcterms:created xsi:type="dcterms:W3CDTF">2023-04-03T07:49:00Z</dcterms:created>
  <dcterms:modified xsi:type="dcterms:W3CDTF">2023-04-03T07:49:00Z</dcterms:modified>
</cp:coreProperties>
</file>