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508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Real Estate Document Template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Rex Rogers, Anthony De La Torre,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Emilio Sifuentes, Robert McIntosh,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Nick Reader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https://github.com/rlr294/CS386-Spring17-Group16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Deliverable 2.2 - Use Cases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CS386 - Software Engineering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Marco Gerosa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Create a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Post-conditions: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Edit a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Post-conditions: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Draft a short term rental agreement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Post-conditions: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Edit a previously made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Post-conditions: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Alternative Flows: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Group Participation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Rex Rogers - </w:t>
      </w:r>
      <w:r w:rsidDel="00000000" w:rsidR="00000000" w:rsidRPr="00000000">
        <w:rPr>
          <w:rtl w:val="0"/>
        </w:rPr>
        <w:t xml:space="preserve">Initial setup for the deliverable. GitHub commits. Focused on D2.3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Anthony De La Torre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Emilio Sifuentes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Robert McIntosh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Nick Reader - </w:t>
      </w:r>
      <w:r w:rsidDel="00000000" w:rsidR="00000000" w:rsidRPr="00000000">
        <w:rPr>
          <w:rtl w:val="0"/>
        </w:rPr>
        <w:t xml:space="preserve">Still has not been heard from.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github.com/rlr294/CS386-Spring17-Group16" TargetMode="External"/></Relationships>
</file>