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40" w:line="240" w:lineRule="auto"/>
        <w:rPr>
          <w:rFonts w:ascii="Helvetica" w:cs="Helvetica" w:hAnsi="Helvetica" w:eastAsia="Helvetica"/>
          <w:b w:val="0"/>
          <w:bCs w:val="0"/>
        </w:rPr>
      </w:pPr>
      <w:r>
        <w:rPr>
          <w:rFonts w:ascii="Helvetica" w:hAnsi="Helvetica"/>
          <w:b w:val="1"/>
          <w:bCs w:val="1"/>
          <w:rtl w:val="0"/>
          <w:lang w:val="fr-FR"/>
        </w:rPr>
        <w:t xml:space="preserve">BITS Pilani BS Programme </w:t>
      </w:r>
      <w:r>
        <w:rPr>
          <w:rFonts w:ascii="Helvetica" w:hAnsi="Helvetica" w:hint="default"/>
          <w:b w:val="1"/>
          <w:bCs w:val="1"/>
          <w:rtl w:val="0"/>
        </w:rPr>
        <w:t xml:space="preserve">– </w:t>
      </w:r>
      <w:r>
        <w:rPr>
          <w:rFonts w:ascii="Helvetica" w:hAnsi="Helvetica"/>
          <w:b w:val="1"/>
          <w:bCs w:val="1"/>
          <w:rtl w:val="0"/>
          <w:lang w:val="en-US"/>
        </w:rPr>
        <w:t>Advanced Apex Project</w:t>
      </w:r>
    </w:p>
    <w:p>
      <w:pPr>
        <w:pStyle w:val="Default"/>
        <w:suppressAutoHyphens w:val="1"/>
        <w:spacing w:before="0" w:after="240" w:line="240" w:lineRule="auto"/>
        <w:rPr>
          <w:rFonts w:ascii="Helvetica" w:cs="Helvetica" w:hAnsi="Helvetica" w:eastAsia="Helvetica"/>
          <w:b w:val="0"/>
          <w:bCs w:val="0"/>
        </w:rPr>
      </w:pPr>
      <w:r>
        <w:rPr>
          <w:rFonts w:ascii="Helvetica" w:hAnsi="Helvetica"/>
          <w:b w:val="1"/>
          <w:bCs w:val="1"/>
          <w:rtl w:val="0"/>
          <w:lang w:val="fr-FR"/>
        </w:rPr>
        <w:t>GenAI Prompt Log</w:t>
      </w:r>
    </w:p>
    <w:p>
      <w:pPr>
        <w:pStyle w:val="Default"/>
        <w:suppressAutoHyphens w:val="1"/>
        <w:spacing w:before="0" w:after="240" w:line="240" w:lineRule="auto"/>
        <w:rPr>
          <w:rFonts w:ascii="Helvetica" w:cs="Helvetica" w:hAnsi="Helvetica" w:eastAsia="Helvetica"/>
        </w:rPr>
      </w:pPr>
      <w:r>
        <w:rPr>
          <w:rFonts w:ascii="Helvetica" w:hAnsi="Helvetica"/>
          <w:b w:val="1"/>
          <w:bCs w:val="1"/>
          <w:rtl w:val="0"/>
          <w:lang w:val="de-DE"/>
        </w:rPr>
        <w:t>Student Name:</w:t>
      </w:r>
      <w:r>
        <w:rPr>
          <w:rFonts w:ascii="Helvetica" w:hAnsi="Helvetica"/>
          <w:rtl w:val="0"/>
          <w:lang w:val="nl-NL"/>
        </w:rPr>
        <w:t xml:space="preserve"> Sai Spoorthy Eturu</w:t>
      </w:r>
    </w:p>
    <w:p>
      <w:pPr>
        <w:pStyle w:val="Default"/>
        <w:suppressAutoHyphens w:val="1"/>
        <w:spacing w:before="0" w:after="240" w:line="240" w:lineRule="auto"/>
        <w:rPr>
          <w:rFonts w:ascii="Helvetica" w:cs="Helvetica" w:hAnsi="Helvetica" w:eastAsia="Helvetica"/>
        </w:rPr>
      </w:pPr>
      <w:r>
        <w:rPr>
          <w:rFonts w:ascii="Helvetica" w:hAnsi="Helvetica"/>
          <w:b w:val="1"/>
          <w:bCs w:val="1"/>
          <w:rtl w:val="0"/>
          <w:lang w:val="en-US"/>
        </w:rPr>
        <w:t>Roll Number:</w:t>
      </w:r>
      <w:r>
        <w:rPr>
          <w:rFonts w:ascii="Helvetica" w:hAnsi="Helvetica"/>
          <w:rtl w:val="0"/>
          <w:lang w:val="de-DE"/>
        </w:rPr>
        <w:t xml:space="preserve"> 2025EB1100176</w:t>
      </w:r>
    </w:p>
    <w:p>
      <w:pPr>
        <w:pStyle w:val="Default"/>
        <w:suppressAutoHyphens w:val="1"/>
        <w:spacing w:before="0" w:after="240" w:line="240" w:lineRule="auto"/>
        <w:rPr>
          <w:rFonts w:ascii="Helvetica" w:cs="Helvetica" w:hAnsi="Helvetica" w:eastAsia="Helvetica"/>
        </w:rPr>
      </w:pPr>
      <w:r>
        <w:rPr>
          <w:rFonts w:ascii="Helvetica" w:hAnsi="Helvetica"/>
          <w:b w:val="1"/>
          <w:bCs w:val="1"/>
          <w:rtl w:val="0"/>
          <w:lang w:val="en-US"/>
        </w:rPr>
        <w:t>Project Title:</w:t>
      </w:r>
      <w:r>
        <w:rPr>
          <w:rFonts w:ascii="Helvetica" w:hAnsi="Helvetica"/>
          <w:rtl w:val="0"/>
          <w:lang w:val="da-DK"/>
        </w:rPr>
        <w:t xml:space="preserve"> P3 </w:t>
      </w:r>
      <w:r>
        <w:rPr>
          <w:rFonts w:ascii="Helvetica" w:hAnsi="Helvetica" w:hint="default"/>
          <w:rtl w:val="0"/>
        </w:rPr>
        <w:t xml:space="preserve">– </w:t>
      </w:r>
      <w:r>
        <w:rPr>
          <w:rFonts w:ascii="Helvetica" w:hAnsi="Helvetica"/>
          <w:rtl w:val="0"/>
          <w:lang w:val="en-US"/>
        </w:rPr>
        <w:t>Manufacturing: Autonomous Maintenance Assistant Pipeline</w:t>
      </w:r>
    </w:p>
    <w:p>
      <w:pPr>
        <w:pStyle w:val="Default"/>
        <w:suppressAutoHyphens w:val="1"/>
        <w:spacing w:before="0" w:after="240" w:line="240" w:lineRule="auto"/>
        <w:rPr>
          <w:rFonts w:ascii="Helvetica" w:cs="Helvetica" w:hAnsi="Helvetica" w:eastAsia="Helvetica"/>
        </w:rPr>
      </w:pPr>
      <w:r>
        <w:rPr>
          <w:rFonts w:ascii="Helvetica" w:hAnsi="Helvetica"/>
          <w:b w:val="1"/>
          <w:bCs w:val="1"/>
          <w:rtl w:val="0"/>
          <w:lang w:val="de-DE"/>
        </w:rPr>
        <w:t>Date:</w:t>
      </w:r>
      <w:r>
        <w:rPr>
          <w:rFonts w:ascii="Helvetica" w:hAnsi="Helvetica"/>
          <w:rtl w:val="0"/>
          <w:lang w:val="en-US"/>
        </w:rPr>
        <w:t xml:space="preserve"> 02 July 2026</w:t>
      </w:r>
    </w:p>
    <w:p>
      <w:pPr>
        <w:pStyle w:val="Default"/>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lang w:val="en-US"/>
        </w:rPr>
        <w:t>Declaration on the Use of Generative AI</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This log serves as a transparent record of the use of Generative AI tools throughout the lifecycle of the Advanced Apex Project. I confirm that the dataset selection, pipeline implementation, notebook execution, validation of results and final project submission were completed independently. Generative AI was used only to support learning, troubleshoot implementation issues, review technical documentation and improve the presentation of the final submission. At no stage did Generative AI perform the project implementation or generate the core project output. All code execution, data validation, and result interpretation were conducted by the student.</w:t>
      </w:r>
    </w:p>
    <w:p>
      <w:pPr>
        <w:pStyle w:val="Default"/>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lang w:val="fr-FR"/>
        </w:rPr>
        <w:t>GenAI Prompt Log</w:t>
      </w:r>
    </w:p>
    <w:tbl>
      <w:tblPr>
        <w:tblW w:w="902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109"/>
        <w:gridCol w:w="1673"/>
        <w:gridCol w:w="1589"/>
        <w:gridCol w:w="1798"/>
        <w:gridCol w:w="1537"/>
        <w:gridCol w:w="1314"/>
      </w:tblGrid>
      <w:tr>
        <w:tblPrEx>
          <w:shd w:val="clear" w:color="auto" w:fill="auto"/>
        </w:tblPrEx>
        <w:trPr>
          <w:trHeight w:val="1127" w:hRule="atLeast"/>
        </w:trPr>
        <w:tc>
          <w:tcPr>
            <w:tcW w:type="dxa" w:w="11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pPr>
            <w:r>
              <w:rPr>
                <w:rFonts w:ascii="Helvetica" w:hAnsi="Helvetica"/>
                <w:b w:val="1"/>
                <w:bCs w:val="1"/>
                <w:sz w:val="18"/>
                <w:szCs w:val="18"/>
                <w:rtl w:val="0"/>
              </w:rPr>
              <w:t>S. No</w:t>
            </w:r>
          </w:p>
        </w:tc>
        <w:tc>
          <w:tcPr>
            <w:tcW w:type="dxa" w:w="16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pPr>
            <w:r>
              <w:rPr>
                <w:rFonts w:ascii="Helvetica" w:hAnsi="Helvetica"/>
                <w:b w:val="1"/>
                <w:bCs w:val="1"/>
                <w:sz w:val="18"/>
                <w:szCs w:val="18"/>
                <w:rtl w:val="0"/>
              </w:rPr>
              <w:t>GenAI Tool</w:t>
            </w:r>
          </w:p>
        </w:tc>
        <w:tc>
          <w:tcPr>
            <w:tcW w:type="dxa" w:w="15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pPr>
            <w:r>
              <w:rPr>
                <w:rFonts w:ascii="Helvetica" w:hAnsi="Helvetica"/>
                <w:b w:val="1"/>
                <w:bCs w:val="1"/>
                <w:sz w:val="18"/>
                <w:szCs w:val="18"/>
                <w:rtl w:val="0"/>
                <w:lang w:val="de-DE"/>
              </w:rPr>
              <w:t xml:space="preserve">Prompt / Query </w:t>
            </w:r>
            <w:r>
              <w:rPr>
                <w:rFonts w:ascii="Helvetica" w:hAnsi="Helvetica"/>
                <w:b w:val="1"/>
                <w:bCs w:val="1"/>
                <w:sz w:val="16"/>
                <w:szCs w:val="16"/>
                <w:rtl w:val="0"/>
                <w:lang w:val="en-US"/>
              </w:rPr>
              <w:t>(Paraphrased)</w:t>
            </w:r>
          </w:p>
        </w:tc>
        <w:tc>
          <w:tcPr>
            <w:tcW w:type="dxa" w:w="17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pPr>
            <w:r>
              <w:rPr>
                <w:rFonts w:ascii="Helvetica" w:hAnsi="Helvetica"/>
                <w:b w:val="1"/>
                <w:bCs w:val="1"/>
                <w:sz w:val="18"/>
                <w:szCs w:val="18"/>
                <w:rtl w:val="0"/>
              </w:rPr>
              <w:t>Purpose of Using AI</w:t>
            </w:r>
          </w:p>
        </w:tc>
        <w:tc>
          <w:tcPr>
            <w:tcW w:type="dxa" w:w="15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pPr>
            <w:r>
              <w:rPr>
                <w:rFonts w:ascii="Helvetica" w:hAnsi="Helvetica"/>
                <w:b w:val="1"/>
                <w:bCs w:val="1"/>
                <w:sz w:val="18"/>
                <w:szCs w:val="18"/>
                <w:rtl w:val="0"/>
              </w:rPr>
              <w:t>How the Response Was Used</w:t>
            </w:r>
          </w:p>
        </w:tc>
        <w:tc>
          <w:tcPr>
            <w:tcW w:type="dxa" w:w="13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pPr>
            <w:r>
              <w:rPr>
                <w:rFonts w:ascii="Helvetica" w:hAnsi="Helvetica"/>
                <w:b w:val="1"/>
                <w:bCs w:val="1"/>
                <w:sz w:val="18"/>
                <w:szCs w:val="18"/>
                <w:rtl w:val="0"/>
              </w:rPr>
              <w:t>Project Phase</w:t>
            </w:r>
          </w:p>
        </w:tc>
      </w:tr>
      <w:tr>
        <w:tblPrEx>
          <w:shd w:val="clear" w:color="auto" w:fill="auto"/>
        </w:tblPrEx>
        <w:trPr>
          <w:trHeight w:val="4207" w:hRule="atLeast"/>
        </w:trPr>
        <w:tc>
          <w:tcPr>
            <w:tcW w:type="dxa" w:w="11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1</w:t>
            </w:r>
          </w:p>
        </w:tc>
        <w:tc>
          <w:tcPr>
            <w:tcW w:type="dxa" w:w="16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pPr>
            <w:r>
              <w:rPr>
                <w:rFonts w:ascii="Helvetica" w:hAnsi="Helvetica"/>
                <w:sz w:val="18"/>
                <w:szCs w:val="18"/>
                <w:rtl w:val="0"/>
              </w:rPr>
              <w:t>ChatGPT</w:t>
            </w:r>
          </w:p>
        </w:tc>
        <w:tc>
          <w:tcPr>
            <w:tcW w:type="dxa" w:w="15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pPr>
            <w:r>
              <w:rPr>
                <w:rFonts w:ascii="Helvetica" w:hAnsi="Helvetica"/>
                <w:sz w:val="18"/>
                <w:szCs w:val="18"/>
                <w:rtl w:val="0"/>
              </w:rPr>
              <w:t>"Explain the structure of the NASA CMAPSS FD001 dataset and how the 'cycles' relate to engine degradation."</w:t>
            </w:r>
          </w:p>
        </w:tc>
        <w:tc>
          <w:tcPr>
            <w:tcW w:type="dxa" w:w="17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pPr>
            <w:r>
              <w:rPr>
                <w:rFonts w:ascii="Helvetica" w:hAnsi="Helvetica"/>
                <w:sz w:val="18"/>
                <w:szCs w:val="18"/>
                <w:rtl w:val="0"/>
              </w:rPr>
              <w:t>Conceptual understanding</w:t>
            </w:r>
          </w:p>
        </w:tc>
        <w:tc>
          <w:tcPr>
            <w:tcW w:type="dxa" w:w="15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pPr>
            <w:r>
              <w:rPr>
                <w:rFonts w:ascii="Helvetica" w:hAnsi="Helvetica"/>
                <w:sz w:val="18"/>
                <w:szCs w:val="18"/>
                <w:rtl w:val="0"/>
                <w:lang w:val="en-US"/>
              </w:rPr>
              <w:t xml:space="preserve">Used to </w:t>
            </w:r>
            <w:r>
              <w:rPr>
                <w:rFonts w:ascii="Helvetica" w:hAnsi="Helvetica"/>
                <w:sz w:val="16"/>
                <w:szCs w:val="16"/>
                <w:rtl w:val="0"/>
                <w:lang w:val="fr-FR"/>
              </w:rPr>
              <w:t>contextualise</w:t>
            </w:r>
            <w:r>
              <w:rPr>
                <w:rFonts w:ascii="Helvetica" w:hAnsi="Helvetica"/>
                <w:sz w:val="18"/>
                <w:szCs w:val="18"/>
                <w:rtl w:val="0"/>
                <w:lang w:val="en-US"/>
              </w:rPr>
              <w:t xml:space="preserve"> the dataset variables before starting the data loading phase.</w:t>
            </w:r>
          </w:p>
        </w:tc>
        <w:tc>
          <w:tcPr>
            <w:tcW w:type="dxa" w:w="13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pPr>
            <w:r>
              <w:rPr>
                <w:rFonts w:ascii="Helvetica" w:hAnsi="Helvetica"/>
                <w:sz w:val="18"/>
                <w:szCs w:val="18"/>
                <w:rtl w:val="0"/>
              </w:rPr>
              <w:t>Research</w:t>
            </w:r>
          </w:p>
        </w:tc>
      </w:tr>
      <w:tr>
        <w:tblPrEx>
          <w:shd w:val="clear" w:color="auto" w:fill="auto"/>
        </w:tblPrEx>
        <w:trPr>
          <w:trHeight w:val="3927" w:hRule="atLeast"/>
        </w:trPr>
        <w:tc>
          <w:tcPr>
            <w:tcW w:type="dxa" w:w="11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2</w:t>
            </w:r>
          </w:p>
        </w:tc>
        <w:tc>
          <w:tcPr>
            <w:tcW w:type="dxa" w:w="16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pPr>
            <w:r>
              <w:rPr>
                <w:rFonts w:ascii="Helvetica" w:hAnsi="Helvetica"/>
                <w:sz w:val="18"/>
                <w:szCs w:val="18"/>
                <w:rtl w:val="0"/>
              </w:rPr>
              <w:t>ChatGPT</w:t>
            </w:r>
          </w:p>
        </w:tc>
        <w:tc>
          <w:tcPr>
            <w:tcW w:type="dxa" w:w="15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pPr>
            <w:r>
              <w:rPr>
                <w:rFonts w:ascii="Helvetica" w:hAnsi="Helvetica"/>
                <w:sz w:val="18"/>
                <w:szCs w:val="18"/>
                <w:rtl w:val="0"/>
              </w:rPr>
              <w:t>"What is the mathematical definition of Remaining Useful Life (RUL) in the context of the CMAPSS dataset?"</w:t>
            </w:r>
          </w:p>
        </w:tc>
        <w:tc>
          <w:tcPr>
            <w:tcW w:type="dxa" w:w="17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pPr>
            <w:r>
              <w:rPr>
                <w:rFonts w:ascii="Helvetica" w:hAnsi="Helvetica"/>
                <w:sz w:val="18"/>
                <w:szCs w:val="18"/>
                <w:rtl w:val="0"/>
              </w:rPr>
              <w:t>Verification of logic</w:t>
            </w:r>
          </w:p>
        </w:tc>
        <w:tc>
          <w:tcPr>
            <w:tcW w:type="dxa" w:w="15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pPr>
            <w:r>
              <w:rPr>
                <w:rFonts w:ascii="Helvetica" w:hAnsi="Helvetica"/>
                <w:sz w:val="18"/>
                <w:szCs w:val="18"/>
                <w:rtl w:val="0"/>
              </w:rPr>
              <w:t>Used to contextualise the dataset variables before starting the data loading phase.</w:t>
            </w:r>
          </w:p>
        </w:tc>
        <w:tc>
          <w:tcPr>
            <w:tcW w:type="dxa" w:w="13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pPr>
            <w:r>
              <w:rPr>
                <w:rFonts w:ascii="Helvetica" w:hAnsi="Helvetica"/>
                <w:sz w:val="14"/>
                <w:szCs w:val="14"/>
                <w:rtl w:val="0"/>
              </w:rPr>
              <w:t>Methodology</w:t>
            </w:r>
          </w:p>
        </w:tc>
      </w:tr>
      <w:tr>
        <w:tblPrEx>
          <w:shd w:val="clear" w:color="auto" w:fill="auto"/>
        </w:tblPrEx>
        <w:trPr>
          <w:trHeight w:val="3647" w:hRule="atLeast"/>
        </w:trPr>
        <w:tc>
          <w:tcPr>
            <w:tcW w:type="dxa" w:w="11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3</w:t>
            </w:r>
          </w:p>
        </w:tc>
        <w:tc>
          <w:tcPr>
            <w:tcW w:type="dxa" w:w="16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pPr>
            <w:r>
              <w:rPr>
                <w:rFonts w:ascii="Helvetica" w:hAnsi="Helvetica"/>
                <w:sz w:val="18"/>
                <w:szCs w:val="18"/>
                <w:rtl w:val="0"/>
              </w:rPr>
              <w:t>ChatGPT</w:t>
            </w:r>
          </w:p>
        </w:tc>
        <w:tc>
          <w:tcPr>
            <w:tcW w:type="dxa" w:w="15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pPr>
            <w:r>
              <w:rPr>
                <w:rFonts w:ascii="Helvetica" w:hAnsi="Helvetica"/>
                <w:sz w:val="18"/>
                <w:szCs w:val="18"/>
                <w:rtl w:val="0"/>
                <w:lang w:val="de-DE"/>
              </w:rPr>
              <w:t xml:space="preserve">"Compare Min-Max normalisation and Z-score </w:t>
            </w:r>
            <w:r>
              <w:rPr>
                <w:rFonts w:ascii="Helvetica" w:hAnsi="Helvetica"/>
                <w:sz w:val="16"/>
                <w:szCs w:val="16"/>
                <w:rtl w:val="0"/>
                <w:lang w:val="fr-FR"/>
              </w:rPr>
              <w:t>standardisation</w:t>
            </w:r>
            <w:r>
              <w:rPr>
                <w:rFonts w:ascii="Helvetica" w:hAnsi="Helvetica"/>
                <w:sz w:val="18"/>
                <w:szCs w:val="18"/>
                <w:rtl w:val="0"/>
                <w:lang w:val="it-IT"/>
              </w:rPr>
              <w:t xml:space="preserve"> for sensor data in a </w:t>
            </w:r>
            <w:r>
              <w:rPr>
                <w:rFonts w:ascii="Helvetica" w:hAnsi="Helvetica"/>
                <w:sz w:val="16"/>
                <w:szCs w:val="16"/>
                <w:rtl w:val="0"/>
                <w:lang w:val="en-US"/>
              </w:rPr>
              <w:t xml:space="preserve">manufacturing </w:t>
            </w:r>
            <w:r>
              <w:rPr>
                <w:rFonts w:ascii="Helvetica" w:hAnsi="Helvetica"/>
                <w:sz w:val="18"/>
                <w:szCs w:val="18"/>
                <w:rtl w:val="0"/>
                <w:lang w:val="en-US"/>
              </w:rPr>
              <w:t>environment."</w:t>
            </w:r>
          </w:p>
        </w:tc>
        <w:tc>
          <w:tcPr>
            <w:tcW w:type="dxa" w:w="17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pPr>
            <w:r>
              <w:rPr>
                <w:rFonts w:ascii="Helvetica" w:hAnsi="Helvetica"/>
                <w:sz w:val="18"/>
                <w:szCs w:val="18"/>
                <w:rtl w:val="0"/>
              </w:rPr>
              <w:t>Engineering trade-off</w:t>
            </w:r>
          </w:p>
        </w:tc>
        <w:tc>
          <w:tcPr>
            <w:tcW w:type="dxa" w:w="15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pPr>
            <w:r>
              <w:rPr>
                <w:rFonts w:ascii="Helvetica" w:hAnsi="Helvetica"/>
                <w:sz w:val="18"/>
                <w:szCs w:val="18"/>
                <w:rtl w:val="0"/>
              </w:rPr>
              <w:t>Helped justify the decision to use Min-Max scaling for the pipeline.</w:t>
            </w:r>
          </w:p>
        </w:tc>
        <w:tc>
          <w:tcPr>
            <w:tcW w:type="dxa" w:w="13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pPr>
            <w:r>
              <w:rPr>
                <w:rFonts w:ascii="Helvetica" w:hAnsi="Helvetica"/>
                <w:sz w:val="18"/>
                <w:szCs w:val="18"/>
                <w:rtl w:val="0"/>
              </w:rPr>
              <w:t>Design</w:t>
            </w:r>
          </w:p>
        </w:tc>
      </w:tr>
      <w:tr>
        <w:tblPrEx>
          <w:shd w:val="clear" w:color="auto" w:fill="auto"/>
        </w:tblPrEx>
        <w:trPr>
          <w:trHeight w:val="3647" w:hRule="atLeast"/>
        </w:trPr>
        <w:tc>
          <w:tcPr>
            <w:tcW w:type="dxa" w:w="11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4</w:t>
            </w:r>
          </w:p>
        </w:tc>
        <w:tc>
          <w:tcPr>
            <w:tcW w:type="dxa" w:w="16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pPr>
            <w:r>
              <w:rPr>
                <w:rFonts w:ascii="Helvetica" w:hAnsi="Helvetica"/>
                <w:sz w:val="18"/>
                <w:szCs w:val="18"/>
                <w:rtl w:val="0"/>
              </w:rPr>
              <w:t>ChatGPT</w:t>
            </w:r>
          </w:p>
        </w:tc>
        <w:tc>
          <w:tcPr>
            <w:tcW w:type="dxa" w:w="15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pPr>
            <w:r>
              <w:rPr>
                <w:rFonts w:ascii="Helvetica" w:hAnsi="Helvetica"/>
                <w:sz w:val="18"/>
                <w:szCs w:val="18"/>
                <w:rtl w:val="0"/>
                <w:lang w:val="en-US"/>
              </w:rPr>
              <w:t xml:space="preserve">"How can rolling window statistics be implemented using Pandas for </w:t>
            </w:r>
            <w:r>
              <w:rPr>
                <w:rFonts w:ascii="Helvetica" w:hAnsi="Helvetica"/>
                <w:sz w:val="16"/>
                <w:szCs w:val="16"/>
                <w:rtl w:val="0"/>
                <w:lang w:val="en-US"/>
              </w:rPr>
              <w:t>manufacturing</w:t>
            </w:r>
            <w:r>
              <w:rPr>
                <w:rFonts w:ascii="Helvetica" w:hAnsi="Helvetica"/>
                <w:sz w:val="18"/>
                <w:szCs w:val="18"/>
                <w:rtl w:val="0"/>
                <w:lang w:val="it-IT"/>
              </w:rPr>
              <w:t xml:space="preserve"> sensor data?"</w:t>
            </w:r>
          </w:p>
        </w:tc>
        <w:tc>
          <w:tcPr>
            <w:tcW w:type="dxa" w:w="17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pPr>
            <w:r>
              <w:rPr>
                <w:rFonts w:ascii="Helvetica" w:hAnsi="Helvetica"/>
                <w:sz w:val="18"/>
                <w:szCs w:val="18"/>
                <w:rtl w:val="0"/>
              </w:rPr>
              <w:t>Technical best practice</w:t>
            </w:r>
          </w:p>
        </w:tc>
        <w:tc>
          <w:tcPr>
            <w:tcW w:type="dxa" w:w="15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pPr>
            <w:r>
              <w:rPr>
                <w:rFonts w:ascii="Helvetica" w:hAnsi="Helvetica"/>
                <w:sz w:val="18"/>
                <w:szCs w:val="18"/>
                <w:rtl w:val="0"/>
              </w:rPr>
              <w:t>Assisted in structuring the rolling() function calls to maintain temporal validity.</w:t>
            </w:r>
          </w:p>
        </w:tc>
        <w:tc>
          <w:tcPr>
            <w:tcW w:type="dxa" w:w="13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pPr>
            <w:r>
              <w:rPr>
                <w:rFonts w:ascii="Helvetica" w:hAnsi="Helvetica"/>
                <w:sz w:val="18"/>
                <w:szCs w:val="18"/>
                <w:rtl w:val="0"/>
              </w:rPr>
              <w:t>Implementation</w:t>
            </w:r>
          </w:p>
        </w:tc>
      </w:tr>
      <w:tr>
        <w:tblPrEx>
          <w:shd w:val="clear" w:color="auto" w:fill="auto"/>
        </w:tblPrEx>
        <w:trPr>
          <w:trHeight w:val="3087" w:hRule="atLeast"/>
        </w:trPr>
        <w:tc>
          <w:tcPr>
            <w:tcW w:type="dxa" w:w="11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5</w:t>
            </w:r>
          </w:p>
        </w:tc>
        <w:tc>
          <w:tcPr>
            <w:tcW w:type="dxa" w:w="16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pPr>
            <w:r>
              <w:rPr>
                <w:rFonts w:ascii="Helvetica" w:hAnsi="Helvetica"/>
                <w:sz w:val="18"/>
                <w:szCs w:val="18"/>
                <w:rtl w:val="0"/>
              </w:rPr>
              <w:t>ChatGPT</w:t>
            </w:r>
          </w:p>
        </w:tc>
        <w:tc>
          <w:tcPr>
            <w:tcW w:type="dxa" w:w="15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pPr>
            <w:r>
              <w:rPr>
                <w:rFonts w:ascii="Helvetica" w:hAnsi="Helvetica"/>
                <w:sz w:val="18"/>
                <w:szCs w:val="18"/>
                <w:rtl w:val="0"/>
              </w:rPr>
              <w:t>"Troubleshoot: Why is my pandas filter throwing a KeyError when accessing the sensor columns?"</w:t>
            </w:r>
          </w:p>
        </w:tc>
        <w:tc>
          <w:tcPr>
            <w:tcW w:type="dxa" w:w="17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pPr>
            <w:r>
              <w:rPr>
                <w:rFonts w:ascii="Helvetica" w:hAnsi="Helvetica"/>
                <w:sz w:val="18"/>
                <w:szCs w:val="18"/>
                <w:rtl w:val="0"/>
              </w:rPr>
              <w:t>Debugging</w:t>
            </w:r>
          </w:p>
        </w:tc>
        <w:tc>
          <w:tcPr>
            <w:tcW w:type="dxa" w:w="15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pPr>
            <w:r>
              <w:rPr>
                <w:rFonts w:ascii="Helvetica" w:hAnsi="Helvetica"/>
                <w:sz w:val="18"/>
                <w:szCs w:val="18"/>
                <w:rtl w:val="0"/>
              </w:rPr>
              <w:t>Identified a syntax error in the string indexing of the columns.</w:t>
            </w:r>
          </w:p>
        </w:tc>
        <w:tc>
          <w:tcPr>
            <w:tcW w:type="dxa" w:w="13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pPr>
            <w:r>
              <w:rPr>
                <w:rFonts w:ascii="Helvetica" w:hAnsi="Helvetica"/>
                <w:sz w:val="12"/>
                <w:szCs w:val="12"/>
                <w:rtl w:val="0"/>
              </w:rPr>
              <w:t>Implementation</w:t>
            </w:r>
          </w:p>
        </w:tc>
      </w:tr>
      <w:tr>
        <w:tblPrEx>
          <w:shd w:val="clear" w:color="auto" w:fill="auto"/>
        </w:tblPrEx>
        <w:trPr>
          <w:trHeight w:val="3927" w:hRule="atLeast"/>
        </w:trPr>
        <w:tc>
          <w:tcPr>
            <w:tcW w:type="dxa" w:w="11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6</w:t>
            </w:r>
          </w:p>
        </w:tc>
        <w:tc>
          <w:tcPr>
            <w:tcW w:type="dxa" w:w="16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pPr>
            <w:r>
              <w:rPr>
                <w:rFonts w:ascii="Helvetica" w:hAnsi="Helvetica"/>
                <w:sz w:val="18"/>
                <w:szCs w:val="18"/>
                <w:rtl w:val="0"/>
              </w:rPr>
              <w:t>Gemini</w:t>
            </w:r>
          </w:p>
        </w:tc>
        <w:tc>
          <w:tcPr>
            <w:tcW w:type="dxa" w:w="15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pPr>
            <w:r>
              <w:rPr>
                <w:rFonts w:ascii="Helvetica" w:hAnsi="Helvetica"/>
                <w:sz w:val="18"/>
                <w:szCs w:val="18"/>
                <w:rtl w:val="0"/>
              </w:rPr>
              <w:t>"What are the advantages &amp; disadvantage of using IQR-based outlier detection for time-series sensor data?"</w:t>
            </w:r>
          </w:p>
        </w:tc>
        <w:tc>
          <w:tcPr>
            <w:tcW w:type="dxa" w:w="17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pPr>
            <w:r>
              <w:rPr>
                <w:rFonts w:ascii="Helvetica" w:hAnsi="Helvetica"/>
                <w:sz w:val="18"/>
                <w:szCs w:val="18"/>
                <w:rtl w:val="0"/>
              </w:rPr>
              <w:t>Methodological clarity</w:t>
            </w:r>
          </w:p>
        </w:tc>
        <w:tc>
          <w:tcPr>
            <w:tcW w:type="dxa" w:w="15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pPr>
            <w:r>
              <w:rPr>
                <w:rFonts w:ascii="Helvetica" w:hAnsi="Helvetica"/>
                <w:sz w:val="18"/>
                <w:szCs w:val="18"/>
                <w:rtl w:val="0"/>
              </w:rPr>
              <w:t>Clarified why IQR was appropriate for detecting spikes in sensor readings.</w:t>
            </w:r>
          </w:p>
        </w:tc>
        <w:tc>
          <w:tcPr>
            <w:tcW w:type="dxa" w:w="13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pPr>
            <w:r>
              <w:rPr>
                <w:rFonts w:ascii="Helvetica" w:hAnsi="Helvetica"/>
                <w:sz w:val="18"/>
                <w:szCs w:val="18"/>
                <w:rtl w:val="0"/>
              </w:rPr>
              <w:t>Design</w:t>
            </w:r>
          </w:p>
        </w:tc>
      </w:tr>
      <w:tr>
        <w:tblPrEx>
          <w:shd w:val="clear" w:color="auto" w:fill="auto"/>
        </w:tblPrEx>
        <w:trPr>
          <w:trHeight w:val="3367" w:hRule="atLeast"/>
        </w:trPr>
        <w:tc>
          <w:tcPr>
            <w:tcW w:type="dxa" w:w="11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7</w:t>
            </w:r>
          </w:p>
        </w:tc>
        <w:tc>
          <w:tcPr>
            <w:tcW w:type="dxa" w:w="16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pPr>
            <w:r>
              <w:rPr>
                <w:rFonts w:ascii="Helvetica" w:hAnsi="Helvetica"/>
                <w:sz w:val="18"/>
                <w:szCs w:val="18"/>
                <w:rtl w:val="0"/>
              </w:rPr>
              <w:t>Gemini</w:t>
            </w:r>
          </w:p>
        </w:tc>
        <w:tc>
          <w:tcPr>
            <w:tcW w:type="dxa" w:w="15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pPr>
            <w:r>
              <w:rPr>
                <w:rFonts w:ascii="Helvetica" w:hAnsi="Helvetica"/>
                <w:sz w:val="18"/>
                <w:szCs w:val="18"/>
                <w:rtl w:val="0"/>
                <w:lang w:val="en-US"/>
              </w:rPr>
              <w:t xml:space="preserve">"How should a correlation heatmap of </w:t>
            </w:r>
            <w:r>
              <w:rPr>
                <w:rFonts w:ascii="Helvetica" w:hAnsi="Helvetica"/>
                <w:sz w:val="16"/>
                <w:szCs w:val="16"/>
                <w:rtl w:val="0"/>
                <w:lang w:val="en-US"/>
              </w:rPr>
              <w:t>manufacturing</w:t>
            </w:r>
            <w:r>
              <w:rPr>
                <w:rFonts w:ascii="Helvetica" w:hAnsi="Helvetica"/>
                <w:sz w:val="18"/>
                <w:szCs w:val="18"/>
                <w:rtl w:val="0"/>
                <w:lang w:val="en-US"/>
              </w:rPr>
              <w:t xml:space="preserve"> sensor variables be interpreted?"</w:t>
            </w:r>
          </w:p>
        </w:tc>
        <w:tc>
          <w:tcPr>
            <w:tcW w:type="dxa" w:w="17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pPr>
            <w:r>
              <w:rPr>
                <w:rFonts w:ascii="Helvetica" w:hAnsi="Helvetica"/>
                <w:sz w:val="18"/>
                <w:szCs w:val="18"/>
                <w:rtl w:val="0"/>
              </w:rPr>
              <w:t>Statistical analysis</w:t>
            </w:r>
          </w:p>
        </w:tc>
        <w:tc>
          <w:tcPr>
            <w:tcW w:type="dxa" w:w="15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pPr>
            <w:r>
              <w:rPr>
                <w:rFonts w:ascii="Helvetica" w:hAnsi="Helvetica"/>
                <w:sz w:val="18"/>
                <w:szCs w:val="18"/>
                <w:rtl w:val="0"/>
              </w:rPr>
              <w:t>Aided in drawing conclusions for the Correlation Analysis section of the report.</w:t>
            </w:r>
          </w:p>
        </w:tc>
        <w:tc>
          <w:tcPr>
            <w:tcW w:type="dxa" w:w="13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pPr>
            <w:r>
              <w:rPr>
                <w:rFonts w:ascii="Helvetica" w:hAnsi="Helvetica"/>
                <w:sz w:val="18"/>
                <w:szCs w:val="18"/>
                <w:rtl w:val="0"/>
              </w:rPr>
              <w:t>Analysis</w:t>
            </w:r>
          </w:p>
        </w:tc>
      </w:tr>
      <w:tr>
        <w:tblPrEx>
          <w:shd w:val="clear" w:color="auto" w:fill="auto"/>
        </w:tblPrEx>
        <w:trPr>
          <w:trHeight w:val="3927" w:hRule="atLeast"/>
        </w:trPr>
        <w:tc>
          <w:tcPr>
            <w:tcW w:type="dxa" w:w="11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8</w:t>
            </w:r>
          </w:p>
        </w:tc>
        <w:tc>
          <w:tcPr>
            <w:tcW w:type="dxa" w:w="16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pPr>
            <w:r>
              <w:rPr>
                <w:rFonts w:ascii="Helvetica" w:hAnsi="Helvetica"/>
                <w:sz w:val="18"/>
                <w:szCs w:val="18"/>
                <w:rtl w:val="0"/>
              </w:rPr>
              <w:t>Gemini</w:t>
            </w:r>
          </w:p>
        </w:tc>
        <w:tc>
          <w:tcPr>
            <w:tcW w:type="dxa" w:w="15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pPr>
            <w:r>
              <w:rPr>
                <w:rFonts w:ascii="Helvetica" w:hAnsi="Helvetica"/>
                <w:sz w:val="18"/>
                <w:szCs w:val="18"/>
                <w:rtl w:val="0"/>
                <w:lang w:val="en-US"/>
              </w:rPr>
              <w:t xml:space="preserve">"Review the technical wording of the report and suggest </w:t>
            </w:r>
            <w:r>
              <w:rPr>
                <w:rFonts w:ascii="Helvetica" w:hAnsi="Helvetica"/>
                <w:sz w:val="16"/>
                <w:szCs w:val="16"/>
                <w:rtl w:val="0"/>
                <w:lang w:val="en-US"/>
              </w:rPr>
              <w:t>improvements</w:t>
            </w:r>
            <w:r>
              <w:rPr>
                <w:rFonts w:ascii="Helvetica" w:hAnsi="Helvetica"/>
                <w:sz w:val="18"/>
                <w:szCs w:val="18"/>
                <w:rtl w:val="0"/>
                <w:lang w:val="en-US"/>
              </w:rPr>
              <w:t xml:space="preserve"> for clarity and professional tone."</w:t>
            </w:r>
          </w:p>
        </w:tc>
        <w:tc>
          <w:tcPr>
            <w:tcW w:type="dxa" w:w="17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pPr>
            <w:r>
              <w:rPr>
                <w:rFonts w:ascii="Helvetica" w:hAnsi="Helvetica"/>
                <w:sz w:val="18"/>
                <w:szCs w:val="18"/>
                <w:rtl w:val="0"/>
              </w:rPr>
              <w:t>Editing</w:t>
            </w:r>
          </w:p>
        </w:tc>
        <w:tc>
          <w:tcPr>
            <w:tcW w:type="dxa" w:w="15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pPr>
            <w:r>
              <w:rPr>
                <w:rFonts w:ascii="Helvetica" w:hAnsi="Helvetica"/>
                <w:sz w:val="18"/>
                <w:szCs w:val="18"/>
                <w:rtl w:val="0"/>
              </w:rPr>
              <w:t>Refined specific paragraphs to ensure clarity and adherence to professional engineering standards.</w:t>
            </w:r>
          </w:p>
        </w:tc>
        <w:tc>
          <w:tcPr>
            <w:tcW w:type="dxa" w:w="13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pPr>
            <w:r>
              <w:rPr>
                <w:rFonts w:ascii="Helvetica" w:hAnsi="Helvetica"/>
                <w:sz w:val="12"/>
                <w:szCs w:val="12"/>
                <w:rtl w:val="0"/>
              </w:rPr>
              <w:t>Documentation</w:t>
            </w:r>
          </w:p>
        </w:tc>
      </w:tr>
      <w:tr>
        <w:tblPrEx>
          <w:shd w:val="clear" w:color="auto" w:fill="auto"/>
        </w:tblPrEx>
        <w:trPr>
          <w:trHeight w:val="3927" w:hRule="atLeast"/>
        </w:trPr>
        <w:tc>
          <w:tcPr>
            <w:tcW w:type="dxa" w:w="11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9</w:t>
            </w:r>
          </w:p>
        </w:tc>
        <w:tc>
          <w:tcPr>
            <w:tcW w:type="dxa" w:w="16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pPr>
            <w:r>
              <w:rPr>
                <w:rFonts w:ascii="Helvetica" w:hAnsi="Helvetica"/>
                <w:sz w:val="18"/>
                <w:szCs w:val="18"/>
                <w:rtl w:val="0"/>
              </w:rPr>
              <w:t>Gemini</w:t>
            </w:r>
          </w:p>
        </w:tc>
        <w:tc>
          <w:tcPr>
            <w:tcW w:type="dxa" w:w="15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pPr>
            <w:r>
              <w:rPr>
                <w:rFonts w:ascii="Helvetica" w:hAnsi="Helvetica"/>
                <w:sz w:val="18"/>
                <w:szCs w:val="18"/>
                <w:rtl w:val="0"/>
              </w:rPr>
              <w:t>"How should I structure the Limitations section to address the lack of real-time streaming in this batch-processed project?"</w:t>
            </w:r>
          </w:p>
        </w:tc>
        <w:tc>
          <w:tcPr>
            <w:tcW w:type="dxa" w:w="17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pPr>
            <w:r>
              <w:rPr>
                <w:rFonts w:ascii="Helvetica" w:hAnsi="Helvetica"/>
                <w:sz w:val="18"/>
                <w:szCs w:val="18"/>
                <w:rtl w:val="0"/>
              </w:rPr>
              <w:t>Formatting/Scope</w:t>
            </w:r>
          </w:p>
        </w:tc>
        <w:tc>
          <w:tcPr>
            <w:tcW w:type="dxa" w:w="15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pPr>
            <w:r>
              <w:rPr>
                <w:rFonts w:ascii="Helvetica" w:hAnsi="Helvetica"/>
                <w:sz w:val="18"/>
                <w:szCs w:val="18"/>
                <w:rtl w:val="0"/>
              </w:rPr>
              <w:t>Guided the logical structure of the concluding section.</w:t>
            </w:r>
          </w:p>
        </w:tc>
        <w:tc>
          <w:tcPr>
            <w:tcW w:type="dxa" w:w="13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pPr>
            <w:r>
              <w:rPr>
                <w:rFonts w:ascii="Helvetica" w:hAnsi="Helvetica"/>
                <w:sz w:val="12"/>
                <w:szCs w:val="12"/>
                <w:rtl w:val="0"/>
              </w:rPr>
              <w:t>Documentation</w:t>
            </w:r>
          </w:p>
        </w:tc>
      </w:tr>
    </w:tbl>
    <w:p>
      <w:pPr>
        <w:pStyle w:val="Default"/>
        <w:suppressAutoHyphens w:val="1"/>
        <w:spacing w:before="0" w:after="281" w:line="240" w:lineRule="auto"/>
        <w:rPr>
          <w:rFonts w:ascii="Helvetica" w:cs="Helvetica" w:hAnsi="Helvetica" w:eastAsia="Helvetica"/>
          <w:b w:val="1"/>
          <w:bCs w:val="1"/>
          <w:sz w:val="28"/>
          <w:szCs w:val="28"/>
        </w:rPr>
      </w:pPr>
    </w:p>
    <w:p>
      <w:pPr>
        <w:pStyle w:val="Default"/>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lang w:val="en-US"/>
        </w:rPr>
        <w:t>Independent Execution Statement</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I, Sai Spoorthy Eturu, confirm that the project pipeline was implemented locally on my machine. All Python scripts were written, tested, and debugged by me. Generative AI supported learning, debugging and documentation refinement but did not replace the independent engineering, implementation, testing, validation or interpretation undertaken during this project. All visualisations, CSV exports, and summary tables are the result of my independent execution of the implemented code.</w:t>
      </w:r>
    </w:p>
    <w:p>
      <w:pPr>
        <w:pStyle w:val="Default"/>
        <w:suppressAutoHyphens w:val="1"/>
        <w:spacing w:before="0" w:after="240" w:line="240" w:lineRule="auto"/>
        <w:rPr>
          <w:rFonts w:ascii="Helvetica" w:cs="Helvetica" w:hAnsi="Helvetica" w:eastAsia="Helvetica"/>
          <w:i w:val="0"/>
          <w:iCs w:val="0"/>
        </w:rPr>
      </w:pPr>
      <w:r>
        <w:rPr>
          <w:rFonts w:ascii="Helvetica" w:hAnsi="Helvetica"/>
          <w:b w:val="1"/>
          <w:bCs w:val="1"/>
          <w:i w:val="0"/>
          <w:iCs w:val="0"/>
          <w:rtl w:val="0"/>
          <w:lang w:val="en-US"/>
        </w:rPr>
        <w:t>Signature:</w:t>
      </w:r>
      <w:r>
        <w:rPr>
          <w:rFonts w:ascii="Helvetica" w:hAnsi="Helvetica"/>
          <w:i w:val="0"/>
          <w:iCs w:val="0"/>
          <w:rtl w:val="0"/>
        </w:rPr>
        <w:t xml:space="preserve"> </w:t>
      </w:r>
      <w:r>
        <w:rPr>
          <w:rFonts w:ascii="Helvetica" w:hAnsi="Helvetica"/>
          <w:i w:val="1"/>
          <w:iCs w:val="1"/>
          <w:rtl w:val="0"/>
          <w:lang w:val="nl-NL"/>
        </w:rPr>
        <w:t>Sai Spoorthy Eturu</w:t>
      </w:r>
      <w:r>
        <w:rPr>
          <w:rFonts w:ascii="Helvetica" w:hAnsi="Helvetica"/>
          <w:i w:val="1"/>
          <w:iCs w:val="1"/>
          <w:rtl w:val="0"/>
          <w:lang w:val="en-US"/>
        </w:rPr>
        <w:t>-2025eb1100176</w:t>
      </w:r>
    </w:p>
    <w:p>
      <w:pPr>
        <w:pStyle w:val="Default"/>
        <w:suppressAutoHyphens w:val="1"/>
        <w:spacing w:before="0" w:after="240" w:line="240" w:lineRule="auto"/>
      </w:pPr>
      <w:r>
        <w:rPr>
          <w:rFonts w:ascii="Helvetica" w:hAnsi="Helvetica"/>
          <w:b w:val="1"/>
          <w:bCs w:val="1"/>
          <w:rtl w:val="0"/>
          <w:lang w:val="de-DE"/>
        </w:rPr>
        <w:t>Date:</w:t>
      </w:r>
      <w:r>
        <w:rPr>
          <w:rFonts w:ascii="Helvetica" w:hAnsi="Helvetica"/>
          <w:rtl w:val="0"/>
          <w:lang w:val="en-US"/>
        </w:rPr>
        <w:t xml:space="preserve"> 02 July 2026</w:t>
      </w:r>
    </w:p>
    <w:sectPr>
      <w:headerReference w:type="default" r:id="rId4"/>
      <w:footerReference w:type="default" r:id="rId5"/>
      <w:pgSz w:w="11900" w:h="16840" w:orient="portrait"/>
      <w:pgMar w:top="1440" w:right="1440" w:bottom="1440" w:left="1440" w:header="480" w:footer="48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510"/>
      </w:tabs>
      <w:jc w:val="left"/>
    </w:pPr>
    <w:r>
      <w:rPr>
        <w:rtl w:val="0"/>
        <w:lang w:val="nl-NL"/>
      </w:rPr>
      <w:t>Footer</w:t>
    </w:r>
    <w:r>
      <w:tab/>
      <w:tab/>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nl-NL"/>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fr-FR"/>
      <w14:textOutline>
        <w14:noFill/>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21_Simple_Report">
  <a:themeElements>
    <a:clrScheme name="21_Simple_Report">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21_Simple_Report">
      <a:majorFont>
        <a:latin typeface="Helvetica Neue"/>
        <a:ea typeface="Helvetica Neue"/>
        <a:cs typeface="Helvetica Neue"/>
      </a:majorFont>
      <a:minorFont>
        <a:latin typeface="Helvetica Neue"/>
        <a:ea typeface="Helvetica Neue"/>
        <a:cs typeface="Helvetica Neue"/>
      </a:minorFont>
    </a:fontScheme>
    <a:fmtScheme name="21_Simple_Repor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30000"/>
          </a:lnSpc>
          <a:spcBef>
            <a:spcPts val="1200"/>
          </a:spcBef>
          <a:spcAft>
            <a:spcPts val="0"/>
          </a:spcAft>
          <a:buClrTx/>
          <a:buSzTx/>
          <a:buFontTx/>
          <a:buNone/>
          <a:tabLst/>
          <a:defRPr b="0" baseline="0" cap="none" i="0" spc="36" strike="noStrike" sz="12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