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tabs>
          <w:tab w:val="left" w:pos="1300"/>
          <w:tab w:val="left" w:pos="2600"/>
          <w:tab w:val="left" w:pos="3900"/>
          <w:tab w:val="left" w:pos="5200"/>
          <w:tab w:val="left" w:pos="6500"/>
          <w:tab w:val="left" w:pos="7800"/>
          <w:tab w:val="left" w:pos="9100"/>
        </w:tabs>
        <w:rPr>
          <w:rFonts w:ascii="Times New Roman" w:cs="Times New Roman" w:hAnsi="Times New Roman" w:eastAsia="Times New Roman"/>
          <w:b w:val="0"/>
          <w:bCs w:val="0"/>
          <w:sz w:val="40"/>
          <w:szCs w:val="40"/>
        </w:rPr>
      </w:pPr>
      <w:r>
        <w:rPr>
          <w:rFonts w:ascii="Times New Roman" w:hAnsi="Times New Roman"/>
          <w:sz w:val="40"/>
          <w:szCs w:val="40"/>
          <w:rtl w:val="0"/>
        </w:rPr>
        <w:t>FINAL PROJECT REPORT</w:t>
      </w:r>
    </w:p>
    <w:p>
      <w:pPr>
        <w:pStyle w:val="Subtitle"/>
        <w:tabs>
          <w:tab w:val="left" w:pos="1300"/>
          <w:tab w:val="left" w:pos="2600"/>
          <w:tab w:val="left" w:pos="3900"/>
          <w:tab w:val="left" w:pos="5200"/>
          <w:tab w:val="left" w:pos="6500"/>
          <w:tab w:val="left" w:pos="7800"/>
          <w:tab w:val="left" w:pos="9100"/>
        </w:tabs>
        <w:jc w:val="left"/>
        <w:rPr>
          <w:rFonts w:ascii="Times New Roman" w:cs="Times New Roman" w:hAnsi="Times New Roman" w:eastAsia="Times New Roman"/>
        </w:rPr>
      </w:pPr>
      <w:r>
        <w:rPr>
          <w:rFonts w:ascii="Times New Roman" w:hAnsi="Times New Roman"/>
          <w:b w:val="1"/>
          <w:bCs w:val="1"/>
          <w:rtl w:val="0"/>
          <w:lang w:val="en-US"/>
        </w:rPr>
        <w:t>Project Title:</w:t>
      </w:r>
      <w:r>
        <w:rPr>
          <w:rFonts w:ascii="Times New Roman" w:hAnsi="Times New Roman"/>
          <w:rtl w:val="0"/>
          <w:lang w:val="da-DK"/>
        </w:rPr>
        <w:t xml:space="preserve"> P3</w:t>
      </w:r>
      <w:r>
        <w:rPr>
          <w:rFonts w:ascii="Times New Roman" w:hAnsi="Times New Roman"/>
          <w:rtl w:val="0"/>
          <w:lang w:val="en-US"/>
        </w:rPr>
        <w:t xml:space="preserve">- </w:t>
      </w:r>
      <w:r>
        <w:rPr>
          <w:rFonts w:ascii="Times New Roman" w:hAnsi="Times New Roman"/>
          <w:rtl w:val="0"/>
          <w:lang w:val="en-US"/>
        </w:rPr>
        <w:t>Manufacturing: Autonomous Maintenance Assistant Pipeline</w:t>
      </w:r>
    </w:p>
    <w:p>
      <w:pPr>
        <w:pStyle w:val="Subtitle"/>
        <w:tabs>
          <w:tab w:val="left" w:pos="1300"/>
          <w:tab w:val="left" w:pos="2600"/>
          <w:tab w:val="left" w:pos="3900"/>
          <w:tab w:val="left" w:pos="5200"/>
          <w:tab w:val="left" w:pos="6500"/>
          <w:tab w:val="left" w:pos="7800"/>
          <w:tab w:val="left" w:pos="9100"/>
        </w:tabs>
        <w:jc w:val="left"/>
        <w:rPr>
          <w:rFonts w:ascii="Times New Roman" w:cs="Times New Roman" w:hAnsi="Times New Roman" w:eastAsia="Times New Roman"/>
        </w:rPr>
      </w:pPr>
      <w:r>
        <w:rPr>
          <w:rFonts w:ascii="Times New Roman" w:hAnsi="Times New Roman"/>
          <w:b w:val="1"/>
          <w:bCs w:val="1"/>
          <w:rtl w:val="0"/>
          <w:lang w:val="de-DE"/>
        </w:rPr>
        <w:t>Student Name:</w:t>
      </w:r>
      <w:r>
        <w:rPr>
          <w:rFonts w:ascii="Times New Roman" w:hAnsi="Times New Roman"/>
          <w:rtl w:val="0"/>
          <w:lang w:val="nl-NL"/>
        </w:rPr>
        <w:t xml:space="preserve"> Sai Spoorthy Eturu</w:t>
      </w:r>
    </w:p>
    <w:p>
      <w:pPr>
        <w:pStyle w:val="Subtitle"/>
        <w:tabs>
          <w:tab w:val="left" w:pos="1300"/>
          <w:tab w:val="left" w:pos="2600"/>
          <w:tab w:val="left" w:pos="3900"/>
          <w:tab w:val="left" w:pos="5200"/>
          <w:tab w:val="left" w:pos="6500"/>
          <w:tab w:val="left" w:pos="7800"/>
          <w:tab w:val="left" w:pos="9100"/>
        </w:tabs>
        <w:jc w:val="left"/>
        <w:rPr>
          <w:rFonts w:ascii="Times New Roman" w:cs="Times New Roman" w:hAnsi="Times New Roman" w:eastAsia="Times New Roman"/>
        </w:rPr>
      </w:pPr>
      <w:r>
        <w:rPr>
          <w:rFonts w:ascii="Times New Roman" w:hAnsi="Times New Roman"/>
          <w:b w:val="1"/>
          <w:bCs w:val="1"/>
          <w:rtl w:val="0"/>
          <w:lang w:val="en-US"/>
        </w:rPr>
        <w:t>Roll Number:</w:t>
      </w:r>
      <w:r>
        <w:rPr>
          <w:rFonts w:ascii="Times New Roman" w:hAnsi="Times New Roman"/>
          <w:rtl w:val="0"/>
        </w:rPr>
        <w:t xml:space="preserve"> 2025eb1100176</w:t>
      </w:r>
    </w:p>
    <w:p>
      <w:pPr>
        <w:pStyle w:val="Subtitle"/>
        <w:tabs>
          <w:tab w:val="left" w:pos="1300"/>
          <w:tab w:val="left" w:pos="2600"/>
          <w:tab w:val="left" w:pos="3900"/>
          <w:tab w:val="left" w:pos="5200"/>
          <w:tab w:val="left" w:pos="6500"/>
          <w:tab w:val="left" w:pos="7800"/>
          <w:tab w:val="left" w:pos="9100"/>
        </w:tabs>
        <w:jc w:val="left"/>
        <w:rPr>
          <w:rFonts w:ascii="Times New Roman" w:cs="Times New Roman" w:hAnsi="Times New Roman" w:eastAsia="Times New Roman"/>
        </w:rPr>
      </w:pPr>
      <w:r>
        <w:rPr>
          <w:rFonts w:ascii="Times New Roman" w:hAnsi="Times New Roman"/>
          <w:b w:val="1"/>
          <w:bCs w:val="1"/>
          <w:rtl w:val="0"/>
          <w:lang w:val="en-US"/>
        </w:rPr>
        <w:t xml:space="preserve">Google Colab </w:t>
      </w:r>
      <w:r>
        <w:rPr>
          <w:rFonts w:ascii="Times New Roman" w:hAnsi="Times New Roman"/>
          <w:b w:val="1"/>
          <w:bCs w:val="1"/>
          <w:rtl w:val="0"/>
          <w:lang w:val="en-US"/>
        </w:rPr>
        <w:t xml:space="preserve">Project </w:t>
      </w:r>
      <w:r>
        <w:rPr>
          <w:rFonts w:ascii="Times New Roman" w:hAnsi="Times New Roman"/>
          <w:b w:val="1"/>
          <w:bCs w:val="1"/>
          <w:rtl w:val="0"/>
          <w:lang w:val="en-US"/>
        </w:rPr>
        <w:t>Link:</w:t>
      </w:r>
      <w:r>
        <w:rPr>
          <w:rFonts w:ascii="Times New Roman" w:hAnsi="Times New Roman"/>
          <w:rtl w:val="0"/>
          <w:lang w:val="en-US"/>
        </w:rPr>
        <w:t xml:space="preserv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"https://colab.research.google.com/drive/1Sxr-WoGs6dMeDYLRn9tVSpnbnxB8uq1t?authuser=1#scrollTo=MZwHmhzh5oNf"</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https://colab.research.google.com/drive/1Sxr-WoGs6dMeDYLRn9tVSpnbnxB8uq1t?authuser=1#scrollTo=MZwHmhzh5oNf</w:t>
      </w:r>
      <w:r>
        <w:rPr>
          <w:rFonts w:ascii="Times New Roman" w:cs="Times New Roman" w:hAnsi="Times New Roman" w:eastAsia="Times New Roman"/>
        </w:rPr>
        <w:fldChar w:fldCharType="end" w:fldLock="0"/>
      </w:r>
    </w:p>
    <w:p>
      <w:pPr>
        <w:pStyle w:val="Subtitle"/>
        <w:tabs>
          <w:tab w:val="left" w:pos="1300"/>
          <w:tab w:val="left" w:pos="2600"/>
          <w:tab w:val="left" w:pos="3900"/>
          <w:tab w:val="left" w:pos="5200"/>
          <w:tab w:val="left" w:pos="6500"/>
          <w:tab w:val="left" w:pos="7800"/>
          <w:tab w:val="left" w:pos="9100"/>
        </w:tabs>
        <w:jc w:val="left"/>
        <w:rPr>
          <w:rFonts w:ascii="Times New Roman" w:cs="Times New Roman" w:hAnsi="Times New Roman" w:eastAsia="Times New Roman"/>
          <w:u w:val="single"/>
        </w:rPr>
      </w:pPr>
      <w:r>
        <w:rPr>
          <w:rFonts w:ascii="Times New Roman" w:hAnsi="Times New Roman"/>
          <w:b w:val="1"/>
          <w:bCs w:val="1"/>
          <w:rtl w:val="0"/>
          <w:lang w:val="en-US"/>
        </w:rPr>
        <w:t>GitHub Project Repository:</w:t>
      </w:r>
      <w:r>
        <w:rPr>
          <w:rFonts w:ascii="Times New Roman" w:hAnsi="Times New Roman"/>
          <w:rtl w:val="0"/>
          <w:lang w:val="en-US"/>
        </w:rPr>
        <w:t xml:space="preserve"> </w:t>
      </w:r>
      <w:r>
        <w:rPr>
          <w:rFonts w:ascii="Times New Roman" w:hAnsi="Times New Roman"/>
          <w:u w:val="single"/>
          <w:rtl w:val="0"/>
          <w:lang w:val="en-US"/>
        </w:rPr>
        <w:t>https://github.com/ESpoorthy/Advanced-Apex-Project.git</w:t>
      </w: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Section 1: Problem Background</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In modern manufacturing, asset downtime is a primary driver of operational inefficiency. When critical equipment fails unexpectedly, the resulting disruption ripples through the entire supply chain, causing missed delivery milestones, high emergency repair costs, and significant financial losses. Maintenance strategies have traditionally oscillated between run-to-failure</w:t>
      </w:r>
      <w:r>
        <w:rPr>
          <w:rFonts w:ascii="Times New Roman" w:hAnsi="Times New Roman"/>
          <w:rtl w:val="0"/>
          <w:lang w:val="en-US"/>
        </w:rPr>
        <w:t xml:space="preserve"> </w:t>
      </w:r>
      <w:r>
        <w:rPr>
          <w:rFonts w:ascii="Times New Roman" w:hAnsi="Times New Roman"/>
          <w:rtl w:val="0"/>
          <w:lang w:val="en-US"/>
        </w:rPr>
        <w:t>which accepts the risk of catastrophic asset loss</w:t>
      </w:r>
      <w:r>
        <w:rPr>
          <w:rFonts w:ascii="Times New Roman" w:hAnsi="Times New Roman"/>
          <w:rtl w:val="0"/>
          <w:lang w:val="en-US"/>
        </w:rPr>
        <w:t xml:space="preserve"> </w:t>
      </w:r>
      <w:r>
        <w:rPr>
          <w:rFonts w:ascii="Times New Roman" w:hAnsi="Times New Roman"/>
          <w:rtl w:val="0"/>
          <w:lang w:val="en-US"/>
        </w:rPr>
        <w:t>and rigid time-based schedules, which often lead to premature component replacement and unnecessary labour expenditure. Predictive maintenance offers a superior alternative by monitoring equipment health in real-time to schedule interventions only when necessary, thereby protecting production capacity and extending the operational lifespan of high-value assets.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Successfully implementing predictive maintenance requires more than just installing sensors; it requires a reliable data infrastructure to process the raw output. Industrial machinery generates high-frequency sensor streams that are rarely ready for direct analysis. These signals are frequently affected by operational noise, environmental fluctuations, and inconsistencies in sensor calibration. If these raw data streams are fed directly into analytics systems, the resulting insights often lack the precision required for reliable maintenance planning. This frequently leads to a high rate of false alarms, causing maintenance crews to lose trust in the system, or worse, false negatives, where critical degradation goes unnoticed until failure occurs.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Data preprocessing is the essential engineering bridge between raw machine data and reliable maintenance decision-making. By refining the telemetry, we separate genuine mechanical degradation signals from operational noise. This ensures that when a system signals a potential fault, it reflects a true change in the asset's condition, allowing maintenance planners to act with confidence. Furthermore, a structured pipeline transforms raw cycles and sensor readings into stable features that provide a clear, quantifiable view of engine health over time.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This project addresses the critical need for a standardised, repeatable data processing framework capable of preparing raw sensor telemetry for maintenance analytics. The objective is to develop a comprehensive preprocessing pipeline that ingests raw engine data and converts it into clean, reliable feature tables. This project focuses exclusively on the development of a data preprocessing pipeline and does not implement any predictive machine learning model.</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Section 2: Dataset Description</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analysis utilises the NASA Commercial Modular Aero-Propulsion System Simulation (CMAPSS) FD001 dataset, a benchmark widely accepted in industrial analytics. This dataset contains simulated degradation trajectories for a fleet of 100 turbofan engines, providing a controlled environment that mimics the complexity of real-world aircraft engine telemetry.</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dataset contains 20,631 rows of data across 26 columns, tracking engines through multiple operating cycles. Each engine starts with varying levels of initial wear, which is crucial for testing the pipeline's ability to generalise across different asset states. The 100 engine identifiers serve as unique unit keys, allowing us to isolate and track individual asset performance over time, rather than aggregating data into a single, unmanageable mass.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Operating settings are included for each cycle, which account for changes in environmental conditions or flight profiles. In a manufacturing context, these variables are vital; they allow the pipeline to recognise that a change in sensor output might be the result of a deliberate shift in operational load rather than a mechanical fault. Understanding these settings prevents the system from misinterpreting normal operational variance as equipment failure.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21 sensor variables provide the core physical telemetry, measuring parameters such as temperature, pressure, and internal rotational speeds. Because these sensors capture different aspects of the engine's internal environment, they offer a multivariate view of health. Using a dataset with this specific structure is appropriate because it forces the pipeline to handle the inherent noise and redundancy found in multi-sensor industrial environments, ensuring that the preprocessing techniques</w:t>
      </w:r>
      <w:r>
        <w:rPr>
          <w:rFonts w:ascii="Times New Roman" w:hAnsi="Times New Roman"/>
          <w:rtl w:val="0"/>
          <w:lang w:val="en-US"/>
        </w:rPr>
        <w:t xml:space="preserve"> </w:t>
      </w:r>
      <w:r>
        <w:rPr>
          <w:rFonts w:ascii="Times New Roman" w:hAnsi="Times New Roman"/>
          <w:rtl w:val="0"/>
          <w:lang w:val="en-US"/>
        </w:rPr>
        <w:t>such as normalisation and trend extraction</w:t>
      </w:r>
      <w:r>
        <w:rPr>
          <w:rFonts w:ascii="Times New Roman" w:hAnsi="Times New Roman"/>
          <w:rtl w:val="0"/>
          <w:lang w:val="en-US"/>
        </w:rPr>
        <w:t xml:space="preserve"> </w:t>
      </w:r>
      <w:r>
        <w:rPr>
          <w:rFonts w:ascii="Times New Roman" w:hAnsi="Times New Roman"/>
          <w:rtl w:val="0"/>
          <w:lang w:val="en-US"/>
        </w:rPr>
        <w:t>are tested against realistic mechanical variability.</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Section 3: Pipeline Design and Engineering Decisions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pipeline was designed to systematically refine raw telemetry into a feature set that clearly highlights equipment degradation. Each step was engineered to address specific data quality challenges encountered in industrial environments.</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Working Dataset Creation:</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We initialised the process by creating an isolated working copy of the raw dataset. This preserves the integrity of the source data, enabling us to compare post-processing results against the raw baseline to ensure no critical information was lost during transformation.</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Machine Identifier Validation and Time Alignment: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pipeline groups data by Engine ID to prevent signal mixing across the fleet. Within these groups, we generated temporal markers to simulate a continuous timeline. This ensures that the engine cycles, which serve as the data index, are treated as a sequential time-series, a prerequisite for accurate trend analysis. Missing values were addressed through targeted handling, ensuring that gaps in telemetry do not trigger errors in downstream calculations.</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de-DE"/>
        </w:rPr>
        <w:t>Sensor Normalisation:</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Sensor data often exists on different numerical scales</w:t>
      </w:r>
      <w:r>
        <w:rPr>
          <w:rFonts w:ascii="Times New Roman" w:hAnsi="Times New Roman"/>
          <w:rtl w:val="0"/>
          <w:lang w:val="en-US"/>
        </w:rPr>
        <w:t xml:space="preserve"> </w:t>
      </w:r>
      <w:r>
        <w:rPr>
          <w:rFonts w:ascii="Times New Roman" w:hAnsi="Times New Roman"/>
          <w:rtl w:val="0"/>
          <w:lang w:val="en-US"/>
        </w:rPr>
        <w:t>some values reach the thousands, while others are fractions. We applied Min-Max normalisation to rescale all sensor data into a [0, 1] range. This ensures that no single sensor channel dominates the feature space simply due to its magnitude, allowing algorithms to weigh all mechanical indicators equally.</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Outlier Detection and Treatment: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Noisy sensor data, often a result of transient signal spikes, can confuse maintenance diagnostics. We implemented outlier detection using the Interquartile Range (IQR) method and clipped these spikes to the local rolling window bounds. This approach mitigates the impact of noise without discarding data points, maintaining the longitudinal continuity of the sensor signal.</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Automated Feature Engineering:</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To move beyond instantaneous readings, we engineered features that reveal degradation trends. We calculated rolling means and rolling standard deviations to smooth high-frequency noise and highlight the underlying drift in sensor health. The Rate of Change (RoC) was computed to monitor how quickly sensor values are shifting, as a rapid shift is often a precursor to failure. Window statistics further capture the behaviour of sensors over specific cycles, providing a view of engine stability over time.</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Remaining Useful Life (RUL) and Engine Health:</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pipeline derives the RUL by calculating the remaining operational cycles for each engine. We then constructed an Engine Health Index by normalising this RUL into a percentage scale. This index is categorised into Maintenance Risk Levels (e.g., Safe, Warning, Critical) using rule-based thresholds. This translation from numerical RUL to risk bands directly supports operator decision-making, allowing maintenance teams to prioritise assets based on severity.</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Pipeline Validation and Export: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final validation module automatically cross-references the processed feature tables against the raw input to ensure column integrity and statistical consistency. The clean datasets are then exported as structured tables, ensuring they are formatted for immediate use by predictive maintenance models.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Section 4: Before and After Data Quality Report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transformation of the NASA CMAPSS FD001 dataset significantly improved its analytical utility. The initial data contained 20,631 rows and 26 columns. Post-pipeline, the data retained its 20,631-row count, confirming that the preprocessing steps effectively processed the signal without losing operational history.</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initial audit confirmed that the dataset was complete, with zero missing values detected across the 21 sensor channels. However, the data quality report highlights that while the raw data was complete, it was not "clean." The sensor telemetry initially exhibited significant scale disparity and high-frequency noise. The pipeline's application of Min-Max normalisation eliminated the scale disparity, and the IQR clipping successfully treated transient spikes.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feature engineering process resulted in a significant expansion of the feature set, adding calculated metrics such as rolling averages, rate-of-change, and a derived Engine Health Index. This transformation provides a high-fidelity feature table that is now stable and ready for predictive modelling. Pipeline validation confirms that the output data is synchroni</w:t>
      </w:r>
      <w:r>
        <w:rPr>
          <w:rFonts w:ascii="Times New Roman" w:hAnsi="Times New Roman"/>
          <w:rtl w:val="0"/>
          <w:lang w:val="en-US"/>
        </w:rPr>
        <w:t>s</w:t>
      </w:r>
      <w:r>
        <w:rPr>
          <w:rFonts w:ascii="Times New Roman" w:hAnsi="Times New Roman"/>
          <w:rtl w:val="0"/>
          <w:lang w:val="en-US"/>
        </w:rPr>
        <w:t>ed, normalised, and structurally consistent with the source, verifying that the preprocessing logic was applied correctly.</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Section 5: Key Findings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preprocessing outputs provide a clear view of how engine degradation manifests across the fleet. The sensor trend analysis reveals that specific sensors demonstrate progressive drift as the RUL decreases, confirming that these variables act as leading indicators of mechanical fatigue.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correlation analysis highlighted that many sensor channels are highly redundant, moving in tandem as the engine cycles increase. This insight allows future models to focus on the most impactful features, potentially reducing system complexity without sacrificing predictive power.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The Engine Health Index provides a intuitive representation of asset condition. We observed that the index remains stable for the majority of an engine's life before experiencing a non-linear drop as the RUL approaches zero. This finding validates our decision to use rolling statistics, as they effectively capture this terminal decay. Furthermore, the risk classification successfully identified engines nearing failure, proving that the pipeline is ready to support downstream predictive maintenance systems.</w:t>
      </w:r>
    </w:p>
    <w:p>
      <w:pPr>
        <w:pStyle w:val="Default"/>
        <w:suppressAutoHyphens w:val="1"/>
        <w:spacing w:before="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 xml:space="preserve">Section </w:t>
      </w:r>
      <w:r>
        <w:rPr>
          <w:rFonts w:ascii="Times Roman" w:hAnsi="Times Roman"/>
          <w:b w:val="1"/>
          <w:bCs w:val="1"/>
          <w:sz w:val="28"/>
          <w:szCs w:val="28"/>
          <w:rtl w:val="0"/>
          <w:lang w:val="en-US"/>
        </w:rPr>
        <w:t>6</w:t>
      </w:r>
      <w:r>
        <w:rPr>
          <w:rFonts w:ascii="Times Roman" w:hAnsi="Times Roman"/>
          <w:b w:val="1"/>
          <w:bCs w:val="1"/>
          <w:sz w:val="28"/>
          <w:szCs w:val="28"/>
          <w:rtl w:val="0"/>
          <w:lang w:val="en-US"/>
        </w:rPr>
        <w:t>: Project Execution Timelin</w:t>
      </w:r>
      <w:r>
        <w:rPr>
          <w:rFonts w:ascii="Times Roman" w:hAnsi="Times Roman"/>
          <w:b w:val="1"/>
          <w:bCs w:val="1"/>
          <w:sz w:val="28"/>
          <w:szCs w:val="28"/>
          <w:rtl w:val="0"/>
          <w:lang w:val="en-US"/>
        </w:rPr>
        <w:t>e</w:t>
      </w:r>
    </w:p>
    <w:p>
      <w:pPr>
        <w:pStyle w:val="Default"/>
        <w:suppressAutoHyphens w:val="1"/>
        <w:spacing w:before="0" w:line="240" w:lineRule="auto"/>
        <w:rPr>
          <w:rFonts w:ascii="Times Roman" w:cs="Times Roman" w:hAnsi="Times Roman" w:eastAsia="Times Roman"/>
          <w:b w:val="1"/>
          <w:bCs w:val="1"/>
          <w:sz w:val="28"/>
          <w:szCs w:val="28"/>
        </w:rPr>
      </w:pPr>
    </w:p>
    <w:tbl>
      <w:tblPr>
        <w:tblW w:w="90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98"/>
        <w:gridCol w:w="1678"/>
        <w:gridCol w:w="4434"/>
        <w:gridCol w:w="2203"/>
      </w:tblGrid>
      <w:tr>
        <w:tblPrEx>
          <w:shd w:val="clear" w:color="auto" w:fill="bdc0bf"/>
        </w:tblPrEx>
        <w:trPr>
          <w:trHeight w:val="485" w:hRule="atLeast"/>
          <w:tblHeader/>
        </w:trPr>
        <w:tc>
          <w:tcPr>
            <w:tcW w:type="dxa" w:w="69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S. No</w:t>
            </w:r>
          </w:p>
        </w:tc>
        <w:tc>
          <w:tcPr>
            <w:tcW w:type="dxa" w:w="167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Week</w:t>
            </w:r>
          </w:p>
        </w:tc>
        <w:tc>
          <w:tcPr>
            <w:tcW w:type="dxa" w:w="443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Activities Completed</w:t>
            </w:r>
          </w:p>
        </w:tc>
        <w:tc>
          <w:tcPr>
            <w:tcW w:type="dxa" w:w="220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Deliverables Achieved</w:t>
            </w:r>
          </w:p>
        </w:tc>
      </w:tr>
      <w:tr>
        <w:tblPrEx>
          <w:shd w:val="clear" w:color="auto" w:fill="auto"/>
        </w:tblPrEx>
        <w:trPr>
          <w:trHeight w:val="1051" w:hRule="atLeast"/>
        </w:trPr>
        <w:tc>
          <w:tcPr>
            <w:tcW w:type="dxa" w:w="69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67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Week 1 </w:t>
            </w:r>
          </w:p>
          <w:p>
            <w:pPr>
              <w:pStyle w:val="Table Style 2"/>
              <w:bidi w:val="0"/>
            </w:pPr>
            <w:r>
              <w:rPr>
                <w:rFonts w:ascii="Helvetica Neue" w:cs="Arial Unicode MS" w:hAnsi="Helvetica Neue" w:eastAsia="Arial Unicode MS"/>
                <w:rtl w:val="0"/>
              </w:rPr>
              <w:t>(4</w:t>
            </w:r>
            <w:r>
              <w:rPr>
                <w:rFonts w:ascii="Helvetica Neue" w:cs="Arial Unicode MS" w:hAnsi="Helvetica Neue" w:eastAsia="Arial Unicode MS" w:hint="default"/>
                <w:rtl w:val="0"/>
              </w:rPr>
              <w:t>–</w:t>
            </w:r>
            <w:r>
              <w:rPr>
                <w:rFonts w:ascii="Helvetica Neue" w:cs="Arial Unicode MS" w:hAnsi="Helvetica Neue" w:eastAsia="Arial Unicode MS"/>
                <w:rtl w:val="0"/>
              </w:rPr>
              <w:t>7 June)</w:t>
            </w:r>
          </w:p>
        </w:tc>
        <w:tc>
          <w:tcPr>
            <w:tcW w:type="dxa" w:w="443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Reviewed the project brief, evaluated the recommended datasets and selected the NASA CMAPSS FD001 dataset. Designed the overall preprocessing pipeline architecture.</w:t>
            </w:r>
          </w:p>
        </w:tc>
        <w:tc>
          <w:tcPr>
            <w:tcW w:type="dxa" w:w="220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Finalised project scope and dataset selection.</w:t>
            </w:r>
          </w:p>
        </w:tc>
      </w:tr>
      <w:tr>
        <w:tblPrEx>
          <w:shd w:val="clear" w:color="auto" w:fill="auto"/>
        </w:tblPrEx>
        <w:trPr>
          <w:trHeight w:val="879" w:hRule="atLeast"/>
        </w:trPr>
        <w:tc>
          <w:tcPr>
            <w:tcW w:type="dxa" w:w="6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16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Week 2</w:t>
            </w:r>
          </w:p>
          <w:p>
            <w:pPr>
              <w:pStyle w:val="Table Style 2"/>
              <w:bidi w:val="0"/>
            </w:pPr>
            <w:r>
              <w:rPr>
                <w:rFonts w:ascii="Helvetica Neue" w:cs="Arial Unicode MS" w:hAnsi="Helvetica Neue" w:eastAsia="Arial Unicode MS"/>
                <w:rtl w:val="0"/>
              </w:rPr>
              <w:t xml:space="preserve"> (8</w:t>
            </w:r>
            <w:r>
              <w:rPr>
                <w:rFonts w:ascii="Helvetica Neue" w:cs="Arial Unicode MS" w:hAnsi="Helvetica Neue" w:eastAsia="Arial Unicode MS" w:hint="default"/>
                <w:rtl w:val="0"/>
              </w:rPr>
              <w:t>–</w:t>
            </w:r>
            <w:r>
              <w:rPr>
                <w:rFonts w:ascii="Helvetica Neue" w:cs="Arial Unicode MS" w:hAnsi="Helvetica Neue" w:eastAsia="Arial Unicode MS"/>
                <w:rtl w:val="0"/>
              </w:rPr>
              <w:t>14 June)</w:t>
            </w:r>
          </w:p>
        </w:tc>
        <w:tc>
          <w:tcPr>
            <w:tcW w:type="dxa" w:w="4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Times New Roman" w:hAnsi="Times New Roman"/>
                <w:rtl w:val="0"/>
              </w:rPr>
              <w:t>Loaded the dataset into Google Colab, explored its structure, inspected data types, analysed descriptive statistics and performed the initial data quality assessment.</w:t>
            </w:r>
          </w:p>
        </w:tc>
        <w:tc>
          <w:tcPr>
            <w:tcW w:type="dxa" w:w="2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Completed dataset understanding and initial quality report.</w:t>
            </w:r>
          </w:p>
        </w:tc>
      </w:tr>
      <w:tr>
        <w:tblPrEx>
          <w:shd w:val="clear" w:color="auto" w:fill="auto"/>
        </w:tblPrEx>
        <w:trPr>
          <w:trHeight w:val="787" w:hRule="atLeast"/>
        </w:trPr>
        <w:tc>
          <w:tcPr>
            <w:tcW w:type="dxa" w:w="6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p>
        </w:tc>
        <w:tc>
          <w:tcPr>
            <w:tcW w:type="dxa" w:w="16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Week 3 </w:t>
            </w:r>
          </w:p>
          <w:p>
            <w:pPr>
              <w:pStyle w:val="Table Style 2"/>
              <w:bidi w:val="0"/>
            </w:pPr>
            <w:r>
              <w:rPr>
                <w:rFonts w:ascii="Helvetica Neue" w:cs="Arial Unicode MS" w:hAnsi="Helvetica Neue" w:eastAsia="Arial Unicode MS"/>
                <w:rtl w:val="0"/>
              </w:rPr>
              <w:t>(15</w:t>
            </w:r>
            <w:r>
              <w:rPr>
                <w:rFonts w:ascii="Helvetica Neue" w:cs="Arial Unicode MS" w:hAnsi="Helvetica Neue" w:eastAsia="Arial Unicode MS" w:hint="default"/>
                <w:rtl w:val="0"/>
              </w:rPr>
              <w:t>–</w:t>
            </w:r>
            <w:r>
              <w:rPr>
                <w:rFonts w:ascii="Helvetica Neue" w:cs="Arial Unicode MS" w:hAnsi="Helvetica Neue" w:eastAsia="Arial Unicode MS"/>
                <w:rtl w:val="0"/>
              </w:rPr>
              <w:t>21 June)</w:t>
            </w:r>
          </w:p>
        </w:tc>
        <w:tc>
          <w:tcPr>
            <w:tcW w:type="dxa" w:w="4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Prepared the time-series data, validated engine identifiers, generated timestamps, handled missing values, and normalised sensor variables.</w:t>
            </w:r>
          </w:p>
        </w:tc>
        <w:tc>
          <w:tcPr>
            <w:tcW w:type="dxa" w:w="2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Produced a cleaned and time-aligned intermediate dataset.</w:t>
            </w:r>
          </w:p>
        </w:tc>
      </w:tr>
      <w:tr>
        <w:tblPrEx>
          <w:shd w:val="clear" w:color="auto" w:fill="auto"/>
        </w:tblPrEx>
        <w:trPr>
          <w:trHeight w:val="1047" w:hRule="atLeast"/>
        </w:trPr>
        <w:tc>
          <w:tcPr>
            <w:tcW w:type="dxa" w:w="6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w:t>
            </w:r>
          </w:p>
        </w:tc>
        <w:tc>
          <w:tcPr>
            <w:tcW w:type="dxa" w:w="16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Week 4 </w:t>
            </w:r>
          </w:p>
          <w:p>
            <w:pPr>
              <w:pStyle w:val="Table Style 2"/>
              <w:bidi w:val="0"/>
            </w:pPr>
            <w:r>
              <w:rPr>
                <w:rFonts w:ascii="Helvetica Neue" w:cs="Arial Unicode MS" w:hAnsi="Helvetica Neue" w:eastAsia="Arial Unicode MS"/>
                <w:rtl w:val="0"/>
              </w:rPr>
              <w:t>(22</w:t>
            </w:r>
            <w:r>
              <w:rPr>
                <w:rFonts w:ascii="Helvetica Neue" w:cs="Arial Unicode MS" w:hAnsi="Helvetica Neue" w:eastAsia="Arial Unicode MS" w:hint="default"/>
                <w:rtl w:val="0"/>
              </w:rPr>
              <w:t>–</w:t>
            </w:r>
            <w:r>
              <w:rPr>
                <w:rFonts w:ascii="Helvetica Neue" w:cs="Arial Unicode MS" w:hAnsi="Helvetica Neue" w:eastAsia="Arial Unicode MS"/>
                <w:rtl w:val="0"/>
              </w:rPr>
              <w:t>28 June)</w:t>
            </w:r>
          </w:p>
        </w:tc>
        <w:tc>
          <w:tcPr>
            <w:tcW w:type="dxa" w:w="4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Times New Roman" w:hAnsi="Times New Roman"/>
                <w:rtl w:val="0"/>
              </w:rPr>
              <w:t>Detected and treated outliers using the IQR method, engineered rolling statistics, Remaining Useful Life (RUL), Engine Health Index and Maintenance Risk Level features.</w:t>
            </w:r>
          </w:p>
        </w:tc>
        <w:tc>
          <w:tcPr>
            <w:tcW w:type="dxa" w:w="2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20"/>
                <w:szCs w:val="20"/>
                <w:rtl w:val="0"/>
              </w:rPr>
              <w:t>Generated the complete feature table for predictive maintenance analysis.</w:t>
            </w:r>
          </w:p>
        </w:tc>
      </w:tr>
      <w:tr>
        <w:tblPrEx>
          <w:shd w:val="clear" w:color="auto" w:fill="auto"/>
        </w:tblPrEx>
        <w:trPr>
          <w:trHeight w:val="879" w:hRule="atLeast"/>
        </w:trPr>
        <w:tc>
          <w:tcPr>
            <w:tcW w:type="dxa" w:w="6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5</w:t>
            </w:r>
          </w:p>
        </w:tc>
        <w:tc>
          <w:tcPr>
            <w:tcW w:type="dxa" w:w="16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Week 5</w:t>
            </w:r>
          </w:p>
          <w:p>
            <w:pPr>
              <w:pStyle w:val="Table Style 2"/>
              <w:bidi w:val="0"/>
            </w:pPr>
            <w:r>
              <w:rPr>
                <w:rFonts w:ascii="Helvetica Neue" w:cs="Arial Unicode MS" w:hAnsi="Helvetica Neue" w:eastAsia="Arial Unicode MS"/>
                <w:rtl w:val="0"/>
              </w:rPr>
              <w:t xml:space="preserve"> (29 June</w:t>
            </w:r>
            <w:r>
              <w:rPr>
                <w:rFonts w:ascii="Helvetica Neue" w:cs="Arial Unicode MS" w:hAnsi="Helvetica Neue" w:eastAsia="Arial Unicode MS" w:hint="default"/>
                <w:rtl w:val="0"/>
              </w:rPr>
              <w:t>–</w:t>
            </w:r>
            <w:r>
              <w:rPr>
                <w:rFonts w:ascii="Helvetica Neue" w:cs="Arial Unicode MS" w:hAnsi="Helvetica Neue" w:eastAsia="Arial Unicode MS"/>
                <w:rtl w:val="0"/>
              </w:rPr>
              <w:t>5 July)</w:t>
            </w:r>
          </w:p>
        </w:tc>
        <w:tc>
          <w:tcPr>
            <w:tcW w:type="dxa" w:w="44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Times New Roman" w:hAnsi="Times New Roman"/>
                <w:rtl w:val="0"/>
              </w:rPr>
              <w:t>Performed correlation analysis, generated sensor trend visualisations, validated the preprocessing pipeline, exported processed datasets and prepared the technical report and GenAI Prompt Log.</w:t>
            </w:r>
          </w:p>
        </w:tc>
        <w:tc>
          <w:tcPr>
            <w:tcW w:type="dxa" w:w="22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Times New Roman" w:hAnsi="Times New Roman"/>
                <w:rtl w:val="0"/>
              </w:rPr>
              <w:t>Completed notebook, project report, quality reports and submission documents.</w:t>
            </w:r>
          </w:p>
        </w:tc>
      </w:tr>
    </w:tbl>
    <w:p>
      <w:pPr>
        <w:pStyle w:val="Default"/>
        <w:suppressAutoHyphens w:val="1"/>
        <w:spacing w:before="0"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 xml:space="preserve">Section </w:t>
      </w:r>
      <w:r>
        <w:rPr>
          <w:rFonts w:ascii="Times New Roman" w:hAnsi="Times New Roman"/>
          <w:b w:val="1"/>
          <w:bCs w:val="1"/>
          <w:sz w:val="28"/>
          <w:szCs w:val="28"/>
          <w:rtl w:val="0"/>
          <w:lang w:val="en-US"/>
        </w:rPr>
        <w:t>7</w:t>
      </w:r>
      <w:r>
        <w:rPr>
          <w:rFonts w:ascii="Times New Roman" w:hAnsi="Times New Roman"/>
          <w:b w:val="1"/>
          <w:bCs w:val="1"/>
          <w:sz w:val="28"/>
          <w:szCs w:val="28"/>
          <w:rtl w:val="0"/>
          <w:lang w:val="en-US"/>
        </w:rPr>
        <w:t>: Limitations and Conclusion</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This project successfully established a reusable manufacturing data preprocessing pipeline. While effective, the scope is limited by the nature of the dataset. The CMAPSS FD001 data is a simulated environment; therefore, the pipeline has not been tested against the chaotic, non-deterministic reality of live, real-time streaming data from legacy shop-floor machines. Additionally, as this project focused strictly on data preparation, the pipeline does not include an active feedback loop with maintenance systems.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Despite these limitations, the project has met its core objective. We have produced a robust, modular pipeline that cleans, normalises, and enriches raw sensor data. This feature-engineered dataset is now fully prepared for the next stage of the maintenance lifecycle: the training and deployment of predictive models. By bridging the gap between raw, noisy telemetry and actionable maintenance intelligence, this pipeline serves as a reliable foundation for future autonomous maintenance assistants.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References</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NASA Commercial Modular Aero-Propulsion System Simulation (CMAPSS) Dataset.</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Pandas (Version 2.0+).</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NumPy (Version 1.20+).</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Scikit-learn (Version 1.0+).</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Matplotlib (Version 3.0+).</w:t>
      </w: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Seaborn (Version 0.11+).</w:t>
      </w:r>
    </w:p>
    <w:sectPr>
      <w:headerReference w:type="default" r:id="rId4"/>
      <w:footerReference w:type="default" r:id="rId5"/>
      <w:pgSz w:w="11900" w:h="16840" w:orient="portrait"/>
      <w:pgMar w:top="1134" w:right="1134" w:bottom="1134" w:left="1134" w:header="283" w:footer="283"/>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6"/>
        <w:tab w:val="right" w:pos="9632"/>
        <w:tab w:val="clear" w:pos="9020"/>
      </w:tabs>
      <w:jc w:val="left"/>
    </w:pPr>
    <w:r>
      <w:rPr>
        <w:rtl w:val="0"/>
        <w:lang w:val="nl-NL"/>
      </w:rPr>
      <w:t>Footer</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Title">
    <w:name w:val="Title"/>
    <w:next w:val="Title"/>
    <w:pPr>
      <w:keepNext w:val="0"/>
      <w:keepLines w:val="1"/>
      <w:pageBreakBefore w:val="0"/>
      <w:widowControl w:val="1"/>
      <w:shd w:val="clear" w:color="auto" w:fill="auto"/>
      <w:suppressAutoHyphens w:val="0"/>
      <w:bidi w:val="0"/>
      <w:spacing w:before="0" w:after="12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Subtitle">
    <w:name w:val="Subtitle"/>
    <w:next w:val="Subtitle"/>
    <w:pPr>
      <w:keepNext w:val="0"/>
      <w:keepLines w:val="1"/>
      <w:pageBreakBefore w:val="0"/>
      <w:widowControl w:val="1"/>
      <w:shd w:val="clear" w:color="auto" w:fill="auto"/>
      <w:suppressAutoHyphens w:val="0"/>
      <w:bidi w:val="0"/>
      <w:spacing w:before="0" w:after="360" w:line="240"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Body">
    <w:name w:val="Body"/>
    <w:next w:val="Body"/>
    <w:pPr>
      <w:keepNext w:val="0"/>
      <w:keepLines w:val="0"/>
      <w:pageBreakBefore w:val="0"/>
      <w:widowControl w:val="1"/>
      <w:shd w:val="clear" w:color="auto" w:fill="auto"/>
      <w:suppressAutoHyphens w:val="0"/>
      <w:bidi w:val="0"/>
      <w:spacing w:before="0" w:after="240" w:line="312"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7"/>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Simple_Report">
  <a:themeElements>
    <a:clrScheme name="21_Simple_Report">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30000"/>
          </a:lnSpc>
          <a:spcBef>
            <a:spcPts val="1200"/>
          </a:spcBef>
          <a:spcAft>
            <a:spcPts val="0"/>
          </a:spcAft>
          <a:buClrTx/>
          <a:buSzTx/>
          <a:buFontTx/>
          <a:buNone/>
          <a:tabLst/>
          <a:defRPr b="0" baseline="0" cap="none" i="0" spc="36"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