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 CISSP</w:t>
      </w:r>
    </w:p>
    <w:p>
      <w:pPr>
        <w:spacing w:before="0" w:after="40"/>
        <w:jc w:val="left"/>
      </w:pPr>
      <w:r>
        <w:rPr>
          <w:rFonts w:ascii="Calibri" w:hAnsi="Calibri"/>
          <w:i w:val="0"/>
          <w:sz w:val="22"/>
        </w:rPr>
        <w:t>AI Security Engineer  |  GRC &amp; Agentic Systems</w:t>
      </w:r>
    </w:p>
    <w:p>
      <w:pPr>
        <w:spacing w:before="0" w:after="8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40" w:after="20" w:line="240" w:lineRule="auto"/>
        <w:jc w:val="left"/>
        <w:pBdr>
          <w:bottom w:val="single" w:sz="4" w:space="1" w:color="000000"/>
        </w:pBdr>
      </w:pPr>
      <w:r>
        <w:rPr>
          <w:rFonts w:ascii="Calibri" w:hAnsi="Calibri"/>
          <w:b/>
          <w:sz w:val="22"/>
        </w:rPr>
        <w:t>CERTIFICATIONS</w:t>
      </w:r>
    </w:p>
    <w:p>
      <w:pPr>
        <w:spacing w:before="20" w:after="20"/>
      </w:pPr>
      <w:r>
        <w:rPr>
          <w:rFonts w:ascii="Calibri" w:hAnsi="Calibri"/>
          <w:b/>
          <w:sz w:val="20"/>
        </w:rPr>
        <w:t>CISSP  |  SecurityX (CASP+)  |  CCNA  |  Security+  |  AWS Security Specialty (in progress)  |  Eligible for Security Clearance</w:t>
      </w:r>
    </w:p>
    <w:p>
      <w:pPr>
        <w:spacing w:before="40" w:after="20" w:line="240" w:lineRule="auto"/>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pStyle w:val="ListBullet"/>
        <w:spacing w:before="0" w:after="0"/>
      </w:pPr>
      <w:r>
        <w:rPr>
          <w:rFonts w:ascii="Calibri" w:hAnsi="Calibri"/>
          <w:sz w:val="20"/>
        </w:rPr>
        <w:t xml:space="preserve">Threat modeled the OpenClaw AI gateway (Claude Opus 4.7)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16</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Mar 2026</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pPr>
        <w:spacing w:before="40" w:after="20" w:line="240" w:lineRule="auto"/>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Skills: </w:t>
      </w:r>
      <w:r>
        <w:rPr>
          <w:rFonts w:ascii="Calibri" w:hAnsi="Calibri"/>
          <w:sz w:val="20"/>
        </w:rPr>
        <w:t>ISO 27017, ISO 27018, FISMA, GDPR, GLBA, OSCAL, NIST CSF, FAIR, OCTAVE, POAM Management</w:t>
      </w:r>
    </w:p>
    <w:p>
      <w:pPr>
        <w:spacing w:before="40" w:after="20" w:line="240" w:lineRule="auto"/>
        <w:jc w:val="left"/>
        <w:pBdr>
          <w:bottom w:val="single" w:sz="4" w:space="1" w:color="000000"/>
        </w:pBdr>
      </w:pPr>
      <w:r>
        <w:rPr>
          <w:rFonts w:ascii="Calibri" w:hAnsi="Calibri"/>
          <w:b/>
          <w:sz w:val="22"/>
        </w:rPr>
        <w:t>EDUCATION</w:t>
      </w:r>
    </w:p>
    <w:p>
      <w:pPr>
        <w:spacing w:before="20" w:after="0"/>
      </w:pPr>
      <w:r>
        <w:rPr>
          <w:rFonts w:ascii="Calibri" w:hAnsi="Calibri"/>
          <w:b/>
          <w:sz w:val="20"/>
        </w:rPr>
        <w:t>Georgia State University, Andrew Young School of Policy Studies</w:t>
      </w:r>
    </w:p>
    <w:p>
      <w:pPr>
        <w:spacing w:before="0" w:after="0"/>
      </w:pPr>
      <w:r>
        <w:rPr>
          <w:rFonts w:ascii="Calibri" w:hAnsi="Calibri"/>
          <w:sz w:val="20"/>
        </w:rPr>
        <w:t>B.A. in Economics  |  3.7  |  2026</w:t>
      </w:r>
    </w:p>
    <w:p>
      <w:pPr>
        <w:spacing w:before="0" w:after="0"/>
      </w:pPr>
      <w:r>
        <w:rPr>
          <w:rFonts w:ascii="Calibri" w:hAnsi="Calibri"/>
          <w:sz w:val="20"/>
        </w:rPr>
        <w:t>A.S. in Business Administration  |  Dean's List  |  2025</w:t>
      </w:r>
    </w:p>
    <w:sectPr w:rsidR="00FC693F" w:rsidRPr="0006063C"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