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 CISSP</w:t>
      </w:r>
    </w:p>
    <w:p>
      <w:pPr>
        <w:spacing w:before="0" w:after="40"/>
        <w:jc w:val="left"/>
      </w:pPr>
      <w:r>
        <w:rPr>
          <w:rFonts w:ascii="Calibri" w:hAnsi="Calibri"/>
          <w:i w:val="0"/>
          <w:sz w:val="22"/>
        </w:rPr>
        <w:t>AI Security Engineer  |  Cloud Security &amp; Agentic Systems</w:t>
      </w:r>
    </w:p>
    <w:p>
      <w:pPr>
        <w:spacing w:before="0" w:after="8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40" w:after="20" w:line="240" w:lineRule="auto"/>
        <w:jc w:val="left"/>
        <w:pBdr>
          <w:bottom w:val="single" w:sz="4" w:space="1" w:color="000000"/>
        </w:pBdr>
      </w:pPr>
      <w:r>
        <w:rPr>
          <w:rFonts w:ascii="Calibri" w:hAnsi="Calibri"/>
          <w:b/>
          <w:sz w:val="22"/>
        </w:rPr>
        <w:t>CERTIFICATIONS</w:t>
      </w:r>
    </w:p>
    <w:p>
      <w:pPr>
        <w:spacing w:before="20" w:after="20"/>
      </w:pPr>
      <w:r>
        <w:rPr>
          <w:rFonts w:ascii="Calibri" w:hAnsi="Calibri"/>
          <w:b/>
          <w:sz w:val="20"/>
        </w:rPr>
        <w:t>CISSP  |  SecurityX (CASP+)  |  CCNA  |  Security+  |  AWS Security Specialty (in progress)  |  Eligible for Security Clearance</w:t>
      </w:r>
    </w:p>
    <w:p>
      <w:pPr>
        <w:spacing w:before="40" w:after="20" w:line="240" w:lineRule="auto"/>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20</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Threat modeled the OpenClaw AI gateway (Claude Opus 4.8)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Mar 2026</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pPr>
        <w:spacing w:before="40" w:after="20" w:line="240" w:lineRule="auto"/>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Skills: </w:t>
      </w:r>
      <w:r>
        <w:rPr>
          <w:rFonts w:ascii="Calibri" w:hAnsi="Calibri"/>
          <w:sz w:val="20"/>
        </w:rPr>
        <w:t>AWS GuardDuty, Security Hub, Inspector, AWS Config, IAM Access Analyzer, Macie, Bedrock Guardrails, AWS Shield, CIS Benchmarks, CSA Cloud Controls Matrix</w:t>
      </w:r>
    </w:p>
    <w:p>
      <w:pPr>
        <w:spacing w:before="40" w:after="20" w:line="240" w:lineRule="auto"/>
        <w:jc w:val="left"/>
        <w:pBdr>
          <w:bottom w:val="single" w:sz="4" w:space="1" w:color="000000"/>
        </w:pBdr>
      </w:pPr>
      <w:r>
        <w:rPr>
          <w:rFonts w:ascii="Calibri" w:hAnsi="Calibri"/>
          <w:b/>
          <w:sz w:val="22"/>
        </w:rPr>
        <w:t>EDUCATION</w:t>
      </w:r>
    </w:p>
    <w:p>
      <w:pPr>
        <w:spacing w:before="20" w:after="0"/>
      </w:pPr>
      <w:r>
        <w:rPr>
          <w:rFonts w:ascii="Calibri" w:hAnsi="Calibri"/>
          <w:b/>
          <w:sz w:val="20"/>
        </w:rPr>
        <w:t>Georgia State University, Andrew Young School of Policy Studies</w:t>
      </w:r>
    </w:p>
    <w:p>
      <w:pPr>
        <w:spacing w:before="0" w:after="0"/>
      </w:pPr>
      <w:r>
        <w:rPr>
          <w:rFonts w:ascii="Calibri" w:hAnsi="Calibri"/>
          <w:sz w:val="20"/>
        </w:rPr>
        <w:t>B.A. in Economics  |  3.7  |  2026</w:t>
      </w:r>
    </w:p>
    <w:p>
      <w:pPr>
        <w:spacing w:before="0" w:after="0"/>
      </w:pPr>
      <w:r>
        <w:rPr>
          <w:rFonts w:ascii="Calibri" w:hAnsi="Calibri"/>
          <w:sz w:val="20"/>
        </w:rPr>
        <w:t>A.S. in Business Administration  |  Dean's List  |  2025</w:t>
      </w:r>
    </w:p>
    <w:sectPr w:rsidR="00FC693F" w:rsidRPr="0006063C"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