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GRC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pStyle w:val="ListBullet"/>
        <w:spacing w:before="0" w:after="0"/>
      </w:pPr>
      <w:r>
        <w:rPr>
          <w:rFonts w:ascii="Calibri" w:hAnsi="Calibri"/>
          <w:sz w:val="20"/>
        </w:rPr>
        <w:t xml:space="preserve">Threat modeled the OpenClaw AI gateway (Claude Opus 4.8)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20</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ISO 27017, ISO 27018, FISMA, GDPR, GLBA, OSCAL, NIST CSF, FAIR, OCTAVE, POAM Management</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