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000000"/>
          <w:sz w:val="32"/>
        </w:rPr>
        <w:t>OPERATING AGREEMENT</w:t>
      </w:r>
    </w:p>
    <w:p>
      <w:pPr>
        <w:spacing w:after="120"/>
        <w:jc w:val="center"/>
      </w:pPr>
      <w:r>
        <w:rPr>
          <w:rFonts w:ascii="Times New Roman" w:hAnsi="Times New Roman"/>
          <w:b/>
          <w:i w:val="0"/>
          <w:color w:val="000000"/>
          <w:sz w:val="32"/>
        </w:rPr>
        <w:t>OF TIGOUE THEORY LLC</w:t>
      </w:r>
    </w:p>
    <w:p>
      <w:pPr>
        <w:spacing w:after="360"/>
        <w:jc w:val="center"/>
      </w:pPr>
      <w:r>
        <w:rPr>
          <w:rFonts w:ascii="Times New Roman" w:hAnsi="Times New Roman"/>
          <w:b w:val="0"/>
          <w:i/>
          <w:color w:val="000000"/>
          <w:sz w:val="24"/>
        </w:rPr>
        <w:t>A Single-Member Georgia Limited Liability Company</w:t>
      </w:r>
    </w:p>
    <w:p>
      <w:pPr>
        <w:spacing w:after="280"/>
        <w:jc w:val="both"/>
      </w:pPr>
      <w:r>
        <w:rPr>
          <w:rFonts w:ascii="Times New Roman" w:hAnsi="Times New Roman"/>
          <w:b/>
          <w:i w:val="0"/>
          <w:color w:val="000000"/>
          <w:sz w:val="22"/>
        </w:rPr>
        <w:t xml:space="preserve">Effective Date: </w:t>
      </w:r>
      <w:r>
        <w:rPr>
          <w:rFonts w:ascii="Times New Roman" w:hAnsi="Times New Roman"/>
          <w:b w:val="0"/>
          <w:i w:val="0"/>
          <w:color w:val="000000"/>
          <w:sz w:val="22"/>
        </w:rPr>
        <w:t>October 22, 2025</w:t>
      </w:r>
    </w:p>
    <w:p>
      <w:pPr>
        <w:spacing w:after="360"/>
        <w:jc w:val="both"/>
      </w:pPr>
      <w:r>
        <w:rPr>
          <w:rFonts w:ascii="Times New Roman" w:hAnsi="Times New Roman"/>
          <w:b w:val="0"/>
          <w:i w:val="0"/>
          <w:color w:val="000000"/>
          <w:sz w:val="22"/>
        </w:rPr>
        <w:t xml:space="preserve">This Operating Agreement (this "Agreement") of </w:t>
      </w:r>
      <w:r>
        <w:rPr>
          <w:rFonts w:ascii="Times New Roman" w:hAnsi="Times New Roman"/>
          <w:b/>
          <w:i w:val="0"/>
          <w:color w:val="000000"/>
          <w:sz w:val="22"/>
        </w:rPr>
        <w:t>TIGOUE THEORY LLC</w:t>
      </w:r>
      <w:r>
        <w:rPr>
          <w:rFonts w:ascii="Times New Roman" w:hAnsi="Times New Roman"/>
          <w:b w:val="0"/>
          <w:i w:val="0"/>
          <w:color w:val="000000"/>
          <w:sz w:val="22"/>
        </w:rPr>
        <w:t xml:space="preserve">, a Georgia limited liability company (the "Company"), is entered into and effective as of the date set forth above by </w:t>
      </w:r>
      <w:r>
        <w:rPr>
          <w:rFonts w:ascii="Times New Roman" w:hAnsi="Times New Roman"/>
          <w:b/>
          <w:i w:val="0"/>
          <w:color w:val="000000"/>
          <w:sz w:val="22"/>
        </w:rPr>
        <w:t>Emmanuel Ahlonko Tigoue</w:t>
      </w:r>
      <w:r>
        <w:rPr>
          <w:rFonts w:ascii="Times New Roman" w:hAnsi="Times New Roman"/>
          <w:b w:val="0"/>
          <w:i w:val="0"/>
          <w:color w:val="000000"/>
          <w:sz w:val="22"/>
        </w:rPr>
        <w:t>, an individual residing in the State of Georgia, as the sole and only member of the Company (the "Member"), pursuant to and in accordance with the Georgia Limited Liability Company Act, O.C.G.A. Section 14-11-100 et seq. (the "Act").</w:t>
      </w:r>
    </w:p>
    <w:p>
      <w:pPr>
        <w:spacing w:after="160"/>
        <w:jc w:val="center"/>
      </w:pPr>
      <w:r>
        <w:rPr>
          <w:rFonts w:ascii="Times New Roman" w:hAnsi="Times New Roman"/>
          <w:b/>
          <w:i w:val="0"/>
          <w:color w:val="000000"/>
          <w:sz w:val="22"/>
        </w:rPr>
        <w:t>RECITALS</w:t>
      </w:r>
    </w:p>
    <w:p>
      <w:pPr>
        <w:spacing w:after="120"/>
        <w:jc w:val="both"/>
      </w:pPr>
      <w:r>
        <w:rPr>
          <w:rFonts w:ascii="Times New Roman" w:hAnsi="Times New Roman"/>
          <w:b w:val="0"/>
          <w:i w:val="0"/>
          <w:color w:val="000000"/>
          <w:sz w:val="22"/>
        </w:rPr>
        <w:t>A. The Company was duly organized as a limited liability company under the laws of the State of Georgia upon the filing of its Articles of Organization with the Georgia Secretary of State on October 22, 2025.</w:t>
      </w:r>
    </w:p>
    <w:p>
      <w:pPr>
        <w:spacing w:after="120"/>
        <w:jc w:val="both"/>
      </w:pPr>
      <w:r>
        <w:rPr>
          <w:rFonts w:ascii="Times New Roman" w:hAnsi="Times New Roman"/>
          <w:b w:val="0"/>
          <w:i w:val="0"/>
          <w:color w:val="000000"/>
          <w:sz w:val="22"/>
        </w:rPr>
        <w:t>B. The Member desires to set forth the terms governing the affairs of the Company, the conduct of its business, and the relations between the Member and the Company.</w:t>
      </w:r>
    </w:p>
    <w:p>
      <w:pPr>
        <w:spacing w:after="120"/>
        <w:jc w:val="both"/>
      </w:pPr>
      <w:r>
        <w:rPr>
          <w:rFonts w:ascii="Times New Roman" w:hAnsi="Times New Roman"/>
          <w:b w:val="0"/>
          <w:i w:val="0"/>
          <w:color w:val="000000"/>
          <w:sz w:val="22"/>
        </w:rPr>
        <w:t>C. It is the express intent of the Member that the Company be respected as a legal entity separate and distinct from the Member for all purposes, including liability protection, contracting, taxation (subject to any tax classification election described herein), and ownership of property.</w:t>
      </w:r>
    </w:p>
    <w:p>
      <w:pPr>
        <w:spacing w:after="240"/>
        <w:jc w:val="both"/>
      </w:pPr>
      <w:r>
        <w:rPr>
          <w:rFonts w:ascii="Times New Roman" w:hAnsi="Times New Roman"/>
          <w:b/>
          <w:i w:val="0"/>
          <w:color w:val="000000"/>
          <w:sz w:val="22"/>
        </w:rPr>
        <w:t xml:space="preserve">NOW, THEREFORE, </w:t>
      </w:r>
      <w:r>
        <w:rPr>
          <w:rFonts w:ascii="Times New Roman" w:hAnsi="Times New Roman"/>
          <w:b w:val="0"/>
          <w:i w:val="0"/>
          <w:color w:val="000000"/>
          <w:sz w:val="22"/>
        </w:rPr>
        <w:t>the Member hereby adopts this Agreement as the Operating Agreement of the Company.</w:t>
      </w:r>
    </w:p>
    <w:p>
      <w:pPr>
        <w:spacing w:before="360" w:after="120"/>
        <w:jc w:val="center"/>
      </w:pPr>
      <w:r>
        <w:rPr>
          <w:rFonts w:ascii="Times New Roman" w:hAnsi="Times New Roman"/>
          <w:b/>
          <w:i w:val="0"/>
          <w:color w:val="000000"/>
          <w:sz w:val="24"/>
        </w:rPr>
        <w:t>ARTICLE I. FORMATION AND NAME</w:t>
      </w:r>
    </w:p>
    <w:p>
      <w:pPr>
        <w:spacing w:before="160" w:after="80"/>
      </w:pPr>
      <w:r>
        <w:rPr>
          <w:rFonts w:ascii="Times New Roman" w:hAnsi="Times New Roman"/>
          <w:b/>
          <w:i w:val="0"/>
          <w:color w:val="000000"/>
          <w:sz w:val="22"/>
        </w:rPr>
        <w:t>1.1 Formation.</w:t>
      </w:r>
      <w:r>
        <w:rPr>
          <w:rFonts w:ascii="Times New Roman" w:hAnsi="Times New Roman"/>
          <w:b w:val="0"/>
          <w:i w:val="0"/>
          <w:color w:val="000000"/>
          <w:sz w:val="22"/>
        </w:rPr>
        <w:t xml:space="preserve"> The Company was formed as a limited liability company by the filing of Articles of Organization with the Georgia Secretary of State pursuant to the Act. The rights, duties, and liabilities of the Member shall be as provided in the Act, except as otherwise expressly provided in this Agreement.</w:t>
      </w:r>
    </w:p>
    <w:p>
      <w:pPr>
        <w:spacing w:before="160" w:after="80"/>
      </w:pPr>
      <w:r>
        <w:rPr>
          <w:rFonts w:ascii="Times New Roman" w:hAnsi="Times New Roman"/>
          <w:b/>
          <w:i w:val="0"/>
          <w:color w:val="000000"/>
          <w:sz w:val="22"/>
        </w:rPr>
        <w:t>1.2 Name.</w:t>
      </w:r>
      <w:r>
        <w:rPr>
          <w:rFonts w:ascii="Times New Roman" w:hAnsi="Times New Roman"/>
          <w:b w:val="0"/>
          <w:i w:val="0"/>
          <w:color w:val="000000"/>
          <w:sz w:val="22"/>
        </w:rPr>
        <w:t xml:space="preserve"> The name of the Company is Tigoue Theory LLC. The Company may also conduct business under any trade name, assumed name, or "doing business as" name properly registered in any jurisdiction in which the Company conducts business.</w:t>
      </w:r>
    </w:p>
    <w:p>
      <w:pPr>
        <w:spacing w:before="160" w:after="80"/>
      </w:pPr>
      <w:r>
        <w:rPr>
          <w:rFonts w:ascii="Times New Roman" w:hAnsi="Times New Roman"/>
          <w:b/>
          <w:i w:val="0"/>
          <w:color w:val="000000"/>
          <w:sz w:val="22"/>
        </w:rPr>
        <w:t>1.3 Term.</w:t>
      </w:r>
      <w:r>
        <w:rPr>
          <w:rFonts w:ascii="Times New Roman" w:hAnsi="Times New Roman"/>
          <w:b w:val="0"/>
          <w:i w:val="0"/>
          <w:color w:val="000000"/>
          <w:sz w:val="22"/>
        </w:rPr>
        <w:t xml:space="preserve"> The term of the Company commenced on the date its Articles of Organization were filed with the Georgia Secretary of State and shall continue perpetually unless dissolved in accordance with this Agreement or the Act.</w:t>
      </w:r>
    </w:p>
    <w:p>
      <w:pPr>
        <w:spacing w:before="160" w:after="80"/>
      </w:pPr>
      <w:r>
        <w:rPr>
          <w:rFonts w:ascii="Times New Roman" w:hAnsi="Times New Roman"/>
          <w:b/>
          <w:i w:val="0"/>
          <w:color w:val="000000"/>
          <w:sz w:val="22"/>
        </w:rPr>
        <w:t>1.4 Articles Control.</w:t>
      </w:r>
      <w:r>
        <w:rPr>
          <w:rFonts w:ascii="Times New Roman" w:hAnsi="Times New Roman"/>
          <w:b w:val="0"/>
          <w:i w:val="0"/>
          <w:color w:val="000000"/>
          <w:sz w:val="22"/>
        </w:rPr>
        <w:t xml:space="preserve"> In the event of any inconsistency between this Agreement and the Articles of Organization, the Articles of Organization shall control to the extent required by the Act. Otherwise, this Agreement shall control.</w:t>
      </w:r>
    </w:p>
    <w:p>
      <w:pPr>
        <w:spacing w:before="360" w:after="120"/>
        <w:jc w:val="center"/>
      </w:pPr>
      <w:r>
        <w:rPr>
          <w:rFonts w:ascii="Times New Roman" w:hAnsi="Times New Roman"/>
          <w:b/>
          <w:i w:val="0"/>
          <w:color w:val="000000"/>
          <w:sz w:val="24"/>
        </w:rPr>
        <w:t>ARTICLE II. PURPOSE AND POWERS</w:t>
      </w:r>
    </w:p>
    <w:p>
      <w:pPr>
        <w:spacing w:before="160" w:after="80"/>
      </w:pPr>
      <w:r>
        <w:rPr>
          <w:rFonts w:ascii="Times New Roman" w:hAnsi="Times New Roman"/>
          <w:b/>
          <w:i w:val="0"/>
          <w:color w:val="000000"/>
          <w:sz w:val="22"/>
        </w:rPr>
        <w:t>2.1 Purpose.</w:t>
      </w:r>
      <w:r>
        <w:rPr>
          <w:rFonts w:ascii="Times New Roman" w:hAnsi="Times New Roman"/>
          <w:b w:val="0"/>
          <w:i w:val="0"/>
          <w:color w:val="000000"/>
          <w:sz w:val="22"/>
        </w:rPr>
        <w:t xml:space="preserve"> The purpose of the Company is to engage in any lawful act or activity for which a limited liability company may be organized under the Act, including:</w:t>
      </w:r>
    </w:p>
    <w:p>
      <w:pPr>
        <w:spacing w:after="120"/>
        <w:ind w:left="720"/>
        <w:jc w:val="both"/>
      </w:pPr>
      <w:r>
        <w:rPr>
          <w:rFonts w:ascii="Times New Roman" w:hAnsi="Times New Roman"/>
          <w:b w:val="0"/>
          <w:i w:val="0"/>
          <w:color w:val="000000"/>
          <w:sz w:val="22"/>
        </w:rPr>
        <w:t>(a) Information technology, cybersecurity, and artificial intelligence security consulting, advisory, assessment, engineering, and managed services;</w:t>
      </w:r>
    </w:p>
    <w:p>
      <w:pPr>
        <w:spacing w:after="120"/>
        <w:ind w:left="720"/>
        <w:jc w:val="both"/>
      </w:pPr>
      <w:r>
        <w:rPr>
          <w:rFonts w:ascii="Times New Roman" w:hAnsi="Times New Roman"/>
          <w:b w:val="0"/>
          <w:i w:val="0"/>
          <w:color w:val="000000"/>
          <w:sz w:val="22"/>
        </w:rPr>
        <w:t>(b) Governance, risk, and compliance consulting and advisory services;</w:t>
      </w:r>
    </w:p>
    <w:p>
      <w:pPr>
        <w:spacing w:after="120"/>
        <w:ind w:left="720"/>
        <w:jc w:val="both"/>
      </w:pPr>
      <w:r>
        <w:rPr>
          <w:rFonts w:ascii="Times New Roman" w:hAnsi="Times New Roman"/>
          <w:b w:val="0"/>
          <w:i w:val="0"/>
          <w:color w:val="000000"/>
          <w:sz w:val="22"/>
        </w:rPr>
        <w:t>(c) Development, licensing, publishing, and sale of digital products, training materials, courses, software, and related intellectual property;</w:t>
      </w:r>
    </w:p>
    <w:p>
      <w:pPr>
        <w:spacing w:after="120"/>
        <w:ind w:left="720"/>
        <w:jc w:val="both"/>
      </w:pPr>
      <w:r>
        <w:rPr>
          <w:rFonts w:ascii="Times New Roman" w:hAnsi="Times New Roman"/>
          <w:b w:val="0"/>
          <w:i w:val="0"/>
          <w:color w:val="000000"/>
          <w:sz w:val="22"/>
        </w:rPr>
        <w:t>(d) Media production, content publishing, and digital communications;</w:t>
      </w:r>
    </w:p>
    <w:p>
      <w:pPr>
        <w:spacing w:after="120"/>
        <w:ind w:left="720"/>
        <w:jc w:val="both"/>
      </w:pPr>
      <w:r>
        <w:rPr>
          <w:rFonts w:ascii="Times New Roman" w:hAnsi="Times New Roman"/>
          <w:b w:val="0"/>
          <w:i w:val="0"/>
          <w:color w:val="000000"/>
          <w:sz w:val="22"/>
        </w:rPr>
        <w:t>(e) Federal, state, local, and commercial contracting and subcontracting; and</w:t>
      </w:r>
    </w:p>
    <w:p>
      <w:pPr>
        <w:spacing w:after="120"/>
        <w:ind w:left="720"/>
        <w:jc w:val="both"/>
      </w:pPr>
      <w:r>
        <w:rPr>
          <w:rFonts w:ascii="Times New Roman" w:hAnsi="Times New Roman"/>
          <w:b w:val="0"/>
          <w:i w:val="0"/>
          <w:color w:val="000000"/>
          <w:sz w:val="22"/>
        </w:rPr>
        <w:t>(f) Any other lawful business activity determined by the Member from time to time.</w:t>
      </w:r>
    </w:p>
    <w:p>
      <w:pPr>
        <w:spacing w:before="160" w:after="80"/>
      </w:pPr>
      <w:r>
        <w:rPr>
          <w:rFonts w:ascii="Times New Roman" w:hAnsi="Times New Roman"/>
          <w:b/>
          <w:i w:val="0"/>
          <w:color w:val="000000"/>
          <w:sz w:val="22"/>
        </w:rPr>
        <w:t>2.2 Powers.</w:t>
      </w:r>
      <w:r>
        <w:rPr>
          <w:rFonts w:ascii="Times New Roman" w:hAnsi="Times New Roman"/>
          <w:b w:val="0"/>
          <w:i w:val="0"/>
          <w:color w:val="000000"/>
          <w:sz w:val="22"/>
        </w:rPr>
        <w:t xml:space="preserve"> The Company shall have all powers necessary, convenient, or incidental to accomplish its purposes, including all powers granted by the Act to a limited liability company.</w:t>
      </w:r>
    </w:p>
    <w:p>
      <w:pPr>
        <w:spacing w:before="360" w:after="120"/>
        <w:jc w:val="center"/>
      </w:pPr>
      <w:r>
        <w:rPr>
          <w:rFonts w:ascii="Times New Roman" w:hAnsi="Times New Roman"/>
          <w:b/>
          <w:i w:val="0"/>
          <w:color w:val="000000"/>
          <w:sz w:val="24"/>
        </w:rPr>
        <w:t>ARTICLE III. PRINCIPAL OFFICE AND REGISTERED AGENT</w:t>
      </w:r>
    </w:p>
    <w:p>
      <w:pPr>
        <w:spacing w:before="160" w:after="80"/>
      </w:pPr>
      <w:r>
        <w:rPr>
          <w:rFonts w:ascii="Times New Roman" w:hAnsi="Times New Roman"/>
          <w:b/>
          <w:i w:val="0"/>
          <w:color w:val="000000"/>
          <w:sz w:val="22"/>
        </w:rPr>
        <w:t>3.1 Principal Office.</w:t>
      </w:r>
      <w:r>
        <w:rPr>
          <w:rFonts w:ascii="Times New Roman" w:hAnsi="Times New Roman"/>
          <w:b w:val="0"/>
          <w:i w:val="0"/>
          <w:color w:val="000000"/>
          <w:sz w:val="22"/>
        </w:rPr>
        <w:t xml:space="preserve"> The principal office of the Company is located at 6132 Red Top Loop, Fairburn, Georgia 30213, or at such other location as the Member may from time to time designate.</w:t>
      </w:r>
    </w:p>
    <w:p>
      <w:pPr>
        <w:spacing w:before="160" w:after="80"/>
      </w:pPr>
      <w:r>
        <w:rPr>
          <w:rFonts w:ascii="Times New Roman" w:hAnsi="Times New Roman"/>
          <w:b/>
          <w:i w:val="0"/>
          <w:color w:val="000000"/>
          <w:sz w:val="22"/>
        </w:rPr>
        <w:t>3.2 Registered Agent.</w:t>
      </w:r>
      <w:r>
        <w:rPr>
          <w:rFonts w:ascii="Times New Roman" w:hAnsi="Times New Roman"/>
          <w:b w:val="0"/>
          <w:i w:val="0"/>
          <w:color w:val="000000"/>
          <w:sz w:val="22"/>
        </w:rPr>
        <w:t xml:space="preserve"> The registered agent and registered office of the Company shall be as set forth in the Articles of Organization on file with the Georgia Secretary of State, and may be changed by the Member by filing the appropriate documents with the Secretary of State.</w:t>
      </w:r>
    </w:p>
    <w:p>
      <w:pPr>
        <w:spacing w:before="160" w:after="80"/>
      </w:pPr>
      <w:r>
        <w:rPr>
          <w:rFonts w:ascii="Times New Roman" w:hAnsi="Times New Roman"/>
          <w:b/>
          <w:i w:val="0"/>
          <w:color w:val="000000"/>
          <w:sz w:val="22"/>
        </w:rPr>
        <w:t>3.3 Additional Offices.</w:t>
      </w:r>
      <w:r>
        <w:rPr>
          <w:rFonts w:ascii="Times New Roman" w:hAnsi="Times New Roman"/>
          <w:b w:val="0"/>
          <w:i w:val="0"/>
          <w:color w:val="000000"/>
          <w:sz w:val="22"/>
        </w:rPr>
        <w:t xml:space="preserve"> The Company may maintain such additional offices or places of business, within or outside the State of Georgia, as the Member may determine.</w:t>
      </w:r>
    </w:p>
    <w:p>
      <w:pPr>
        <w:spacing w:before="360" w:after="120"/>
        <w:jc w:val="center"/>
      </w:pPr>
      <w:r>
        <w:rPr>
          <w:rFonts w:ascii="Times New Roman" w:hAnsi="Times New Roman"/>
          <w:b/>
          <w:i w:val="0"/>
          <w:color w:val="000000"/>
          <w:sz w:val="24"/>
        </w:rPr>
        <w:t>ARTICLE IV. MEMBER AND MEMBERSHIP INTEREST</w:t>
      </w:r>
    </w:p>
    <w:p>
      <w:pPr>
        <w:spacing w:before="160" w:after="80"/>
      </w:pPr>
      <w:r>
        <w:rPr>
          <w:rFonts w:ascii="Times New Roman" w:hAnsi="Times New Roman"/>
          <w:b/>
          <w:i w:val="0"/>
          <w:color w:val="000000"/>
          <w:sz w:val="22"/>
        </w:rPr>
        <w:t>4.1 Sole Member.</w:t>
      </w:r>
      <w:r>
        <w:rPr>
          <w:rFonts w:ascii="Times New Roman" w:hAnsi="Times New Roman"/>
          <w:b w:val="0"/>
          <w:i w:val="0"/>
          <w:color w:val="000000"/>
          <w:sz w:val="22"/>
        </w:rPr>
        <w:t xml:space="preserve"> The Member and sole owner of the Company is:</w:t>
      </w:r>
    </w:p>
    <w:p>
      <w:pPr>
        <w:spacing w:after="40"/>
        <w:ind w:left="720"/>
        <w:jc w:val="both"/>
      </w:pPr>
      <w:r>
        <w:rPr>
          <w:rFonts w:ascii="Times New Roman" w:hAnsi="Times New Roman"/>
          <w:b/>
          <w:i w:val="0"/>
          <w:color w:val="000000"/>
          <w:sz w:val="22"/>
        </w:rPr>
        <w:t xml:space="preserve">Name: </w:t>
      </w:r>
      <w:r>
        <w:rPr>
          <w:rFonts w:ascii="Times New Roman" w:hAnsi="Times New Roman"/>
          <w:b w:val="0"/>
          <w:i w:val="0"/>
          <w:color w:val="000000"/>
          <w:sz w:val="22"/>
        </w:rPr>
        <w:t>Emmanuel Ahlonko Tigoue</w:t>
      </w:r>
    </w:p>
    <w:p>
      <w:pPr>
        <w:spacing w:after="40"/>
        <w:ind w:left="720"/>
        <w:jc w:val="both"/>
      </w:pPr>
      <w:r>
        <w:rPr>
          <w:rFonts w:ascii="Times New Roman" w:hAnsi="Times New Roman"/>
          <w:b/>
          <w:i w:val="0"/>
          <w:color w:val="000000"/>
          <w:sz w:val="22"/>
        </w:rPr>
        <w:t xml:space="preserve">Address: </w:t>
      </w:r>
      <w:r>
        <w:rPr>
          <w:rFonts w:ascii="Times New Roman" w:hAnsi="Times New Roman"/>
          <w:b w:val="0"/>
          <w:i w:val="0"/>
          <w:color w:val="000000"/>
          <w:sz w:val="22"/>
        </w:rPr>
        <w:t>6132 Red Top Loop, Fairburn, Georgia 30213</w:t>
      </w:r>
    </w:p>
    <w:p>
      <w:pPr>
        <w:spacing w:after="120"/>
        <w:ind w:left="720"/>
        <w:jc w:val="both"/>
      </w:pPr>
      <w:r>
        <w:rPr>
          <w:rFonts w:ascii="Times New Roman" w:hAnsi="Times New Roman"/>
          <w:b/>
          <w:i w:val="0"/>
          <w:color w:val="000000"/>
          <w:sz w:val="22"/>
        </w:rPr>
        <w:t xml:space="preserve">Membership Interest: </w:t>
      </w:r>
      <w:r>
        <w:rPr>
          <w:rFonts w:ascii="Times New Roman" w:hAnsi="Times New Roman"/>
          <w:b w:val="0"/>
          <w:i w:val="0"/>
          <w:color w:val="000000"/>
          <w:sz w:val="22"/>
        </w:rPr>
        <w:t>100%</w:t>
      </w:r>
    </w:p>
    <w:p>
      <w:pPr>
        <w:spacing w:before="160" w:after="80"/>
      </w:pPr>
      <w:r>
        <w:rPr>
          <w:rFonts w:ascii="Times New Roman" w:hAnsi="Times New Roman"/>
          <w:b/>
          <w:i w:val="0"/>
          <w:color w:val="000000"/>
          <w:sz w:val="22"/>
        </w:rPr>
        <w:t>4.2 Membership Interest.</w:t>
      </w:r>
      <w:r>
        <w:rPr>
          <w:rFonts w:ascii="Times New Roman" w:hAnsi="Times New Roman"/>
          <w:b w:val="0"/>
          <w:i w:val="0"/>
          <w:color w:val="000000"/>
          <w:sz w:val="22"/>
        </w:rPr>
        <w:t xml:space="preserve"> The Membership Interest represents the Member's entire economic and governance interest in the Company, including the right to receive distributions, allocations of profits and losses, and the right to manage and vote on all matters of the Company.</w:t>
      </w:r>
    </w:p>
    <w:p>
      <w:pPr>
        <w:spacing w:before="160" w:after="80"/>
      </w:pPr>
      <w:r>
        <w:rPr>
          <w:rFonts w:ascii="Times New Roman" w:hAnsi="Times New Roman"/>
          <w:b/>
          <w:i w:val="0"/>
          <w:color w:val="000000"/>
          <w:sz w:val="22"/>
        </w:rPr>
        <w:t>4.3 No Certificates.</w:t>
      </w:r>
      <w:r>
        <w:rPr>
          <w:rFonts w:ascii="Times New Roman" w:hAnsi="Times New Roman"/>
          <w:b w:val="0"/>
          <w:i w:val="0"/>
          <w:color w:val="000000"/>
          <w:sz w:val="22"/>
        </w:rPr>
        <w:t xml:space="preserve"> Membership Interests shall not be represented by certificates unless the Member elects otherwise in a writing executed by the Member.</w:t>
      </w:r>
    </w:p>
    <w:p>
      <w:pPr>
        <w:spacing w:before="160" w:after="80"/>
      </w:pPr>
      <w:r>
        <w:rPr>
          <w:rFonts w:ascii="Times New Roman" w:hAnsi="Times New Roman"/>
          <w:b/>
          <w:i w:val="0"/>
          <w:color w:val="000000"/>
          <w:sz w:val="22"/>
        </w:rPr>
        <w:t>4.4 Admission of Additional Members.</w:t>
      </w:r>
      <w:r>
        <w:rPr>
          <w:rFonts w:ascii="Times New Roman" w:hAnsi="Times New Roman"/>
          <w:b w:val="0"/>
          <w:i w:val="0"/>
          <w:color w:val="000000"/>
          <w:sz w:val="22"/>
        </w:rPr>
        <w:t xml:space="preserve"> Additional members may be admitted only upon the written consent of the Member and execution of an amendment to or restatement of this Agreement. Upon the admission of any additional member, this Agreement shall be amended or restated to reflect a multi-member operating agreement, and the Company's tax classification may be reconsidered.</w:t>
      </w:r>
    </w:p>
    <w:p>
      <w:pPr>
        <w:spacing w:before="360" w:after="120"/>
        <w:jc w:val="center"/>
      </w:pPr>
      <w:r>
        <w:rPr>
          <w:rFonts w:ascii="Times New Roman" w:hAnsi="Times New Roman"/>
          <w:b/>
          <w:i w:val="0"/>
          <w:color w:val="000000"/>
          <w:sz w:val="24"/>
        </w:rPr>
        <w:t>ARTICLE V. CAPITAL CONTRIBUTIONS</w:t>
      </w:r>
    </w:p>
    <w:p>
      <w:pPr>
        <w:spacing w:before="160" w:after="80"/>
      </w:pPr>
      <w:r>
        <w:rPr>
          <w:rFonts w:ascii="Times New Roman" w:hAnsi="Times New Roman"/>
          <w:b/>
          <w:i w:val="0"/>
          <w:color w:val="000000"/>
          <w:sz w:val="22"/>
        </w:rPr>
        <w:t>5.1 Initial Capital Contribution.</w:t>
      </w:r>
      <w:r>
        <w:rPr>
          <w:rFonts w:ascii="Times New Roman" w:hAnsi="Times New Roman"/>
          <w:b w:val="0"/>
          <w:i w:val="0"/>
          <w:color w:val="000000"/>
          <w:sz w:val="22"/>
        </w:rPr>
        <w:t xml:space="preserve"> The Member has contributed, or shall contribute, the sum of $1,000.00 in cash and any additional cash, property, services, or other assets to the Company as the Member deems appropriate. The initial capital contribution and all subsequent contributions shall be recorded in the books and records of the Company as set forth in Exhibit A.</w:t>
      </w:r>
    </w:p>
    <w:p>
      <w:pPr>
        <w:spacing w:before="160" w:after="80"/>
      </w:pPr>
      <w:r>
        <w:rPr>
          <w:rFonts w:ascii="Times New Roman" w:hAnsi="Times New Roman"/>
          <w:b/>
          <w:i w:val="0"/>
          <w:color w:val="000000"/>
          <w:sz w:val="22"/>
        </w:rPr>
        <w:t>5.2 Additional Contributions.</w:t>
      </w:r>
      <w:r>
        <w:rPr>
          <w:rFonts w:ascii="Times New Roman" w:hAnsi="Times New Roman"/>
          <w:b w:val="0"/>
          <w:i w:val="0"/>
          <w:color w:val="000000"/>
          <w:sz w:val="22"/>
        </w:rPr>
        <w:t xml:space="preserve"> The Member may, in the Member's sole discretion, make additional capital contributions to the Company at any time. The Member is not obligated to make any additional capital contribution.</w:t>
      </w:r>
    </w:p>
    <w:p>
      <w:pPr>
        <w:spacing w:before="160" w:after="80"/>
      </w:pPr>
      <w:r>
        <w:rPr>
          <w:rFonts w:ascii="Times New Roman" w:hAnsi="Times New Roman"/>
          <w:b/>
          <w:i w:val="0"/>
          <w:color w:val="000000"/>
          <w:sz w:val="22"/>
        </w:rPr>
        <w:t>5.3 No Interest on Capital.</w:t>
      </w:r>
      <w:r>
        <w:rPr>
          <w:rFonts w:ascii="Times New Roman" w:hAnsi="Times New Roman"/>
          <w:b w:val="0"/>
          <w:i w:val="0"/>
          <w:color w:val="000000"/>
          <w:sz w:val="22"/>
        </w:rPr>
        <w:t xml:space="preserve"> No interest shall be paid on capital contributions or on the balance in the Member's capital account.</w:t>
      </w:r>
    </w:p>
    <w:p>
      <w:pPr>
        <w:spacing w:before="160" w:after="80"/>
      </w:pPr>
      <w:r>
        <w:rPr>
          <w:rFonts w:ascii="Times New Roman" w:hAnsi="Times New Roman"/>
          <w:b/>
          <w:i w:val="0"/>
          <w:color w:val="000000"/>
          <w:sz w:val="22"/>
        </w:rPr>
        <w:t>5.4 Capital Account.</w:t>
      </w:r>
      <w:r>
        <w:rPr>
          <w:rFonts w:ascii="Times New Roman" w:hAnsi="Times New Roman"/>
          <w:b w:val="0"/>
          <w:i w:val="0"/>
          <w:color w:val="000000"/>
          <w:sz w:val="22"/>
        </w:rPr>
        <w:t xml:space="preserve"> A capital account shall be maintained for the Member in accordance with U.S. Treasury Regulations Section 1.704-1(b)(2)(iv) to the extent applicable.</w:t>
      </w:r>
    </w:p>
    <w:p>
      <w:pPr>
        <w:spacing w:before="160" w:after="80"/>
      </w:pPr>
      <w:r>
        <w:rPr>
          <w:rFonts w:ascii="Times New Roman" w:hAnsi="Times New Roman"/>
          <w:b/>
          <w:i w:val="0"/>
          <w:color w:val="000000"/>
          <w:sz w:val="22"/>
        </w:rPr>
        <w:t>5.5 Loans by Member.</w:t>
      </w:r>
      <w:r>
        <w:rPr>
          <w:rFonts w:ascii="Times New Roman" w:hAnsi="Times New Roman"/>
          <w:b w:val="0"/>
          <w:i w:val="0"/>
          <w:color w:val="000000"/>
          <w:sz w:val="22"/>
        </w:rPr>
        <w:t xml:space="preserve"> The Member may, but is not obligated to, lend money to the Company. Any such loan shall be evidenced by a written promissory note, shall bear interest at a commercially reasonable rate, and shall not be treated as a capital contribution.</w:t>
      </w:r>
    </w:p>
    <w:p>
      <w:pPr>
        <w:spacing w:before="360" w:after="120"/>
        <w:jc w:val="center"/>
      </w:pPr>
      <w:r>
        <w:rPr>
          <w:rFonts w:ascii="Times New Roman" w:hAnsi="Times New Roman"/>
          <w:b/>
          <w:i w:val="0"/>
          <w:color w:val="000000"/>
          <w:sz w:val="24"/>
        </w:rPr>
        <w:t>ARTICLE VI. DISTRIBUTIONS</w:t>
      </w:r>
    </w:p>
    <w:p>
      <w:pPr>
        <w:spacing w:before="160" w:after="80"/>
      </w:pPr>
      <w:r>
        <w:rPr>
          <w:rFonts w:ascii="Times New Roman" w:hAnsi="Times New Roman"/>
          <w:b/>
          <w:i w:val="0"/>
          <w:color w:val="000000"/>
          <w:sz w:val="22"/>
        </w:rPr>
        <w:t>6.1 Distributions.</w:t>
      </w:r>
      <w:r>
        <w:rPr>
          <w:rFonts w:ascii="Times New Roman" w:hAnsi="Times New Roman"/>
          <w:b w:val="0"/>
          <w:i w:val="0"/>
          <w:color w:val="000000"/>
          <w:sz w:val="22"/>
        </w:rPr>
        <w:t xml:space="preserve"> Distributions of cash or other property shall be made to the Member at such times and in such amounts as the Member determines, in the Member's sole discretion, subject to the limitations imposed by Section 6.2 and the Act.</w:t>
      </w:r>
    </w:p>
    <w:p>
      <w:pPr>
        <w:spacing w:before="160" w:after="80"/>
      </w:pPr>
      <w:r>
        <w:rPr>
          <w:rFonts w:ascii="Times New Roman" w:hAnsi="Times New Roman"/>
          <w:b/>
          <w:i w:val="0"/>
          <w:color w:val="000000"/>
          <w:sz w:val="22"/>
        </w:rPr>
        <w:t>6.2 Limitations on Distributions.</w:t>
      </w:r>
      <w:r>
        <w:rPr>
          <w:rFonts w:ascii="Times New Roman" w:hAnsi="Times New Roman"/>
          <w:b w:val="0"/>
          <w:i w:val="0"/>
          <w:color w:val="000000"/>
          <w:sz w:val="22"/>
        </w:rPr>
        <w:t xml:space="preserve"> No distribution shall be made if, after giving effect to the distribution:</w:t>
      </w:r>
    </w:p>
    <w:p>
      <w:pPr>
        <w:spacing w:after="120"/>
        <w:ind w:left="720"/>
        <w:jc w:val="both"/>
      </w:pPr>
      <w:r>
        <w:rPr>
          <w:rFonts w:ascii="Times New Roman" w:hAnsi="Times New Roman"/>
          <w:b w:val="0"/>
          <w:i w:val="0"/>
          <w:color w:val="000000"/>
          <w:sz w:val="22"/>
        </w:rPr>
        <w:t>(a) The Company would be unable to pay its debts as they become due in the ordinary course of business; or</w:t>
      </w:r>
    </w:p>
    <w:p>
      <w:pPr>
        <w:spacing w:after="120"/>
        <w:ind w:left="720"/>
        <w:jc w:val="both"/>
      </w:pPr>
      <w:r>
        <w:rPr>
          <w:rFonts w:ascii="Times New Roman" w:hAnsi="Times New Roman"/>
          <w:b w:val="0"/>
          <w:i w:val="0"/>
          <w:color w:val="000000"/>
          <w:sz w:val="22"/>
        </w:rPr>
        <w:t>(b) The Company's total assets would be less than the sum of its total liabilities, as provided in O.C.G.A. Section 14-11-407.</w:t>
      </w:r>
    </w:p>
    <w:p>
      <w:pPr>
        <w:spacing w:before="160" w:after="80"/>
      </w:pPr>
      <w:r>
        <w:rPr>
          <w:rFonts w:ascii="Times New Roman" w:hAnsi="Times New Roman"/>
          <w:b/>
          <w:i w:val="0"/>
          <w:color w:val="000000"/>
          <w:sz w:val="22"/>
        </w:rPr>
        <w:t>6.3 Tax Distributions.</w:t>
      </w:r>
      <w:r>
        <w:rPr>
          <w:rFonts w:ascii="Times New Roman" w:hAnsi="Times New Roman"/>
          <w:b w:val="0"/>
          <w:i w:val="0"/>
          <w:color w:val="000000"/>
          <w:sz w:val="22"/>
        </w:rPr>
        <w:t xml:space="preserve"> The Member may cause the Company to make distributions sufficient to enable the Member to pay any federal, state, or local income tax liability attributable to the Member's allocable share of the Company's taxable income.</w:t>
      </w:r>
    </w:p>
    <w:p>
      <w:pPr>
        <w:spacing w:before="360" w:after="120"/>
        <w:jc w:val="center"/>
      </w:pPr>
      <w:r>
        <w:rPr>
          <w:rFonts w:ascii="Times New Roman" w:hAnsi="Times New Roman"/>
          <w:b/>
          <w:i w:val="0"/>
          <w:color w:val="000000"/>
          <w:sz w:val="24"/>
        </w:rPr>
        <w:t>ARTICLE VII. MANAGEMENT</w:t>
      </w:r>
    </w:p>
    <w:p>
      <w:pPr>
        <w:spacing w:before="160" w:after="80"/>
      </w:pPr>
      <w:r>
        <w:rPr>
          <w:rFonts w:ascii="Times New Roman" w:hAnsi="Times New Roman"/>
          <w:b/>
          <w:i w:val="0"/>
          <w:color w:val="000000"/>
          <w:sz w:val="22"/>
        </w:rPr>
        <w:t>7.1 Member-Managed.</w:t>
      </w:r>
      <w:r>
        <w:rPr>
          <w:rFonts w:ascii="Times New Roman" w:hAnsi="Times New Roman"/>
          <w:b w:val="0"/>
          <w:i w:val="0"/>
          <w:color w:val="000000"/>
          <w:sz w:val="22"/>
        </w:rPr>
        <w:t xml:space="preserve"> The Company is member-managed. The Member shall have full, exclusive, and complete authority, power, and discretion to manage and control the business, affairs, and properties of the Company, to make all decisions regarding those matters, and to perform any and all other acts customary to or incidental to the management of the Company's business.</w:t>
      </w:r>
    </w:p>
    <w:p>
      <w:pPr>
        <w:spacing w:before="160" w:after="80"/>
      </w:pPr>
      <w:r>
        <w:rPr>
          <w:rFonts w:ascii="Times New Roman" w:hAnsi="Times New Roman"/>
          <w:b/>
          <w:i w:val="0"/>
          <w:color w:val="000000"/>
          <w:sz w:val="22"/>
        </w:rPr>
        <w:t>7.2 Authority of the Member.</w:t>
      </w:r>
      <w:r>
        <w:rPr>
          <w:rFonts w:ascii="Times New Roman" w:hAnsi="Times New Roman"/>
          <w:b w:val="0"/>
          <w:i w:val="0"/>
          <w:color w:val="000000"/>
          <w:sz w:val="22"/>
        </w:rPr>
        <w:t xml:space="preserve"> Without limiting the generality of Section 7.1, the Member is expressly authorized, on behalf of the Company, to:</w:t>
      </w:r>
    </w:p>
    <w:p>
      <w:pPr>
        <w:spacing w:after="120"/>
        <w:ind w:left="720"/>
        <w:jc w:val="both"/>
      </w:pPr>
      <w:r>
        <w:rPr>
          <w:rFonts w:ascii="Times New Roman" w:hAnsi="Times New Roman"/>
          <w:b w:val="0"/>
          <w:i w:val="0"/>
          <w:color w:val="000000"/>
          <w:sz w:val="22"/>
        </w:rPr>
        <w:t>(a) Open, maintain, and close bank, brokerage, and other financial accounts in the name of the Company, and designate signatories with respect to any such accounts;</w:t>
      </w:r>
    </w:p>
    <w:p>
      <w:pPr>
        <w:spacing w:after="120"/>
        <w:ind w:left="720"/>
        <w:jc w:val="both"/>
      </w:pPr>
      <w:r>
        <w:rPr>
          <w:rFonts w:ascii="Times New Roman" w:hAnsi="Times New Roman"/>
          <w:b w:val="0"/>
          <w:i w:val="0"/>
          <w:color w:val="000000"/>
          <w:sz w:val="22"/>
        </w:rPr>
        <w:t>(b) Execute, deliver, and perform contracts, agreements, leases, licenses, and instruments of any kind on behalf of the Company;</w:t>
      </w:r>
    </w:p>
    <w:p>
      <w:pPr>
        <w:spacing w:after="120"/>
        <w:ind w:left="720"/>
        <w:jc w:val="both"/>
      </w:pPr>
      <w:r>
        <w:rPr>
          <w:rFonts w:ascii="Times New Roman" w:hAnsi="Times New Roman"/>
          <w:b w:val="0"/>
          <w:i w:val="0"/>
          <w:color w:val="000000"/>
          <w:sz w:val="22"/>
        </w:rPr>
        <w:t>(c) Borrow money, issue notes, and grant security interests in the Company's assets;</w:t>
      </w:r>
    </w:p>
    <w:p>
      <w:pPr>
        <w:spacing w:after="120"/>
        <w:ind w:left="720"/>
        <w:jc w:val="both"/>
      </w:pPr>
      <w:r>
        <w:rPr>
          <w:rFonts w:ascii="Times New Roman" w:hAnsi="Times New Roman"/>
          <w:b w:val="0"/>
          <w:i w:val="0"/>
          <w:color w:val="000000"/>
          <w:sz w:val="22"/>
        </w:rPr>
        <w:t>(d) Acquire, hold, lease, sell, mortgage, encumber, or otherwise dispose of real or personal property;</w:t>
      </w:r>
    </w:p>
    <w:p>
      <w:pPr>
        <w:spacing w:after="120"/>
        <w:ind w:left="720"/>
        <w:jc w:val="both"/>
      </w:pPr>
      <w:r>
        <w:rPr>
          <w:rFonts w:ascii="Times New Roman" w:hAnsi="Times New Roman"/>
          <w:b w:val="0"/>
          <w:i w:val="0"/>
          <w:color w:val="000000"/>
          <w:sz w:val="22"/>
        </w:rPr>
        <w:t>(e) Hire, engage, supervise, compensate, and terminate employees, independent contractors, agents, attorneys, accountants, and other service providers;</w:t>
      </w:r>
    </w:p>
    <w:p>
      <w:pPr>
        <w:spacing w:after="120"/>
        <w:ind w:left="720"/>
        <w:jc w:val="both"/>
      </w:pPr>
      <w:r>
        <w:rPr>
          <w:rFonts w:ascii="Times New Roman" w:hAnsi="Times New Roman"/>
          <w:b w:val="0"/>
          <w:i w:val="0"/>
          <w:color w:val="000000"/>
          <w:sz w:val="22"/>
        </w:rPr>
        <w:t>(f) Bring, defend, settle, or compromise legal proceedings;</w:t>
      </w:r>
    </w:p>
    <w:p>
      <w:pPr>
        <w:spacing w:after="120"/>
        <w:ind w:left="720"/>
        <w:jc w:val="both"/>
      </w:pPr>
      <w:r>
        <w:rPr>
          <w:rFonts w:ascii="Times New Roman" w:hAnsi="Times New Roman"/>
          <w:b w:val="0"/>
          <w:i w:val="0"/>
          <w:color w:val="000000"/>
          <w:sz w:val="22"/>
        </w:rPr>
        <w:t>(g) Maintain insurance policies in such amounts and against such risks as the Member deems appropriate;</w:t>
      </w:r>
    </w:p>
    <w:p>
      <w:pPr>
        <w:spacing w:after="120"/>
        <w:ind w:left="720"/>
        <w:jc w:val="both"/>
      </w:pPr>
      <w:r>
        <w:rPr>
          <w:rFonts w:ascii="Times New Roman" w:hAnsi="Times New Roman"/>
          <w:b w:val="0"/>
          <w:i w:val="0"/>
          <w:color w:val="000000"/>
          <w:sz w:val="22"/>
        </w:rPr>
        <w:t>(h) Make all tax elections on behalf of the Company; and</w:t>
      </w:r>
    </w:p>
    <w:p>
      <w:pPr>
        <w:spacing w:after="120"/>
        <w:ind w:left="720"/>
        <w:jc w:val="both"/>
      </w:pPr>
      <w:r>
        <w:rPr>
          <w:rFonts w:ascii="Times New Roman" w:hAnsi="Times New Roman"/>
          <w:b w:val="0"/>
          <w:i w:val="0"/>
          <w:color w:val="000000"/>
          <w:sz w:val="22"/>
        </w:rPr>
        <w:t>(i) Take any and all other actions on behalf of the Company that the Member deems necessary or appropriate.</w:t>
      </w:r>
    </w:p>
    <w:p>
      <w:pPr>
        <w:spacing w:before="160" w:after="80"/>
      </w:pPr>
      <w:r>
        <w:rPr>
          <w:rFonts w:ascii="Times New Roman" w:hAnsi="Times New Roman"/>
          <w:b/>
          <w:i w:val="0"/>
          <w:color w:val="000000"/>
          <w:sz w:val="22"/>
        </w:rPr>
        <w:t>7.3 No Authority of Non-Members.</w:t>
      </w:r>
      <w:r>
        <w:rPr>
          <w:rFonts w:ascii="Times New Roman" w:hAnsi="Times New Roman"/>
          <w:b w:val="0"/>
          <w:i w:val="0"/>
          <w:color w:val="000000"/>
          <w:sz w:val="22"/>
        </w:rPr>
        <w:t xml:space="preserve"> No person other than the Member shall have any authority to bind the Company or to act on its behalf, except to the extent expressly authorized in writing by the Member.</w:t>
      </w:r>
    </w:p>
    <w:p>
      <w:pPr>
        <w:spacing w:before="160" w:after="80"/>
      </w:pPr>
      <w:r>
        <w:rPr>
          <w:rFonts w:ascii="Times New Roman" w:hAnsi="Times New Roman"/>
          <w:b/>
          <w:i w:val="0"/>
          <w:color w:val="000000"/>
          <w:sz w:val="22"/>
        </w:rPr>
        <w:t>7.4 Officers (Optional).</w:t>
      </w:r>
      <w:r>
        <w:rPr>
          <w:rFonts w:ascii="Times New Roman" w:hAnsi="Times New Roman"/>
          <w:b w:val="0"/>
          <w:i w:val="0"/>
          <w:color w:val="000000"/>
          <w:sz w:val="22"/>
        </w:rPr>
        <w:t xml:space="preserve"> The Member may, but is not required to, appoint one or more officers of the Company, including a President, Chief Executive Officer, Chief Financial Officer, Secretary, Treasurer, or such other titles as the Member determines. Any such officers shall serve at the pleasure of the Member, shall have such authority as the Member delegates in writing, and may be removed by the Member at any time with or without cause. The Member may hold any one or more officer positions.</w:t>
      </w:r>
    </w:p>
    <w:p>
      <w:pPr>
        <w:spacing w:before="160" w:after="80"/>
      </w:pPr>
      <w:r>
        <w:rPr>
          <w:rFonts w:ascii="Times New Roman" w:hAnsi="Times New Roman"/>
          <w:b/>
          <w:i w:val="0"/>
          <w:color w:val="000000"/>
          <w:sz w:val="22"/>
        </w:rPr>
        <w:t>7.5 Time and Attention.</w:t>
      </w:r>
      <w:r>
        <w:rPr>
          <w:rFonts w:ascii="Times New Roman" w:hAnsi="Times New Roman"/>
          <w:b w:val="0"/>
          <w:i w:val="0"/>
          <w:color w:val="000000"/>
          <w:sz w:val="22"/>
        </w:rPr>
        <w:t xml:space="preserve"> The Member is not required to devote full time to the affairs of the Company and may engage in any other business, investment, or activity, whether or not competitive with the Company, without any duty or obligation to account to the Company.</w:t>
      </w:r>
    </w:p>
    <w:p>
      <w:pPr>
        <w:spacing w:before="360" w:after="120"/>
        <w:jc w:val="center"/>
      </w:pPr>
      <w:r>
        <w:rPr>
          <w:rFonts w:ascii="Times New Roman" w:hAnsi="Times New Roman"/>
          <w:b/>
          <w:i w:val="0"/>
          <w:color w:val="000000"/>
          <w:sz w:val="24"/>
        </w:rPr>
        <w:t>ARTICLE VIII. BOOKS, RECORDS, AND ACCOUNTING</w:t>
      </w:r>
    </w:p>
    <w:p>
      <w:pPr>
        <w:spacing w:before="160" w:after="80"/>
      </w:pPr>
      <w:r>
        <w:rPr>
          <w:rFonts w:ascii="Times New Roman" w:hAnsi="Times New Roman"/>
          <w:b/>
          <w:i w:val="0"/>
          <w:color w:val="000000"/>
          <w:sz w:val="22"/>
        </w:rPr>
        <w:t>8.1 Books and Records.</w:t>
      </w:r>
      <w:r>
        <w:rPr>
          <w:rFonts w:ascii="Times New Roman" w:hAnsi="Times New Roman"/>
          <w:b w:val="0"/>
          <w:i w:val="0"/>
          <w:color w:val="000000"/>
          <w:sz w:val="22"/>
        </w:rPr>
        <w:t xml:space="preserve"> The Company shall maintain complete and accurate books and records of its business and affairs at its principal office, including:</w:t>
      </w:r>
    </w:p>
    <w:p>
      <w:pPr>
        <w:spacing w:after="120"/>
        <w:ind w:left="720"/>
        <w:jc w:val="both"/>
      </w:pPr>
      <w:r>
        <w:rPr>
          <w:rFonts w:ascii="Times New Roman" w:hAnsi="Times New Roman"/>
          <w:b w:val="0"/>
          <w:i w:val="0"/>
          <w:color w:val="000000"/>
          <w:sz w:val="22"/>
        </w:rPr>
        <w:t>(a) Articles of Organization and all amendments;</w:t>
      </w:r>
    </w:p>
    <w:p>
      <w:pPr>
        <w:spacing w:after="120"/>
        <w:ind w:left="720"/>
        <w:jc w:val="both"/>
      </w:pPr>
      <w:r>
        <w:rPr>
          <w:rFonts w:ascii="Times New Roman" w:hAnsi="Times New Roman"/>
          <w:b w:val="0"/>
          <w:i w:val="0"/>
          <w:color w:val="000000"/>
          <w:sz w:val="22"/>
        </w:rPr>
        <w:t>(b) This Agreement and all amendments and restatements;</w:t>
      </w:r>
    </w:p>
    <w:p>
      <w:pPr>
        <w:spacing w:after="120"/>
        <w:ind w:left="720"/>
        <w:jc w:val="both"/>
      </w:pPr>
      <w:r>
        <w:rPr>
          <w:rFonts w:ascii="Times New Roman" w:hAnsi="Times New Roman"/>
          <w:b w:val="0"/>
          <w:i w:val="0"/>
          <w:color w:val="000000"/>
          <w:sz w:val="22"/>
        </w:rPr>
        <w:t>(c) Federal, state, and local tax returns and financial statements for the most recent six (6) years;</w:t>
      </w:r>
    </w:p>
    <w:p>
      <w:pPr>
        <w:spacing w:after="120"/>
        <w:ind w:left="720"/>
        <w:jc w:val="both"/>
      </w:pPr>
      <w:r>
        <w:rPr>
          <w:rFonts w:ascii="Times New Roman" w:hAnsi="Times New Roman"/>
          <w:b w:val="0"/>
          <w:i w:val="0"/>
          <w:color w:val="000000"/>
          <w:sz w:val="22"/>
        </w:rPr>
        <w:t>(d) Records of contributions, distributions, and capital account balances;</w:t>
      </w:r>
    </w:p>
    <w:p>
      <w:pPr>
        <w:spacing w:after="120"/>
        <w:ind w:left="720"/>
        <w:jc w:val="both"/>
      </w:pPr>
      <w:r>
        <w:rPr>
          <w:rFonts w:ascii="Times New Roman" w:hAnsi="Times New Roman"/>
          <w:b w:val="0"/>
          <w:i w:val="0"/>
          <w:color w:val="000000"/>
          <w:sz w:val="22"/>
        </w:rPr>
        <w:t>(e) Minutes or written consents of actions taken by the Member; and</w:t>
      </w:r>
    </w:p>
    <w:p>
      <w:pPr>
        <w:spacing w:after="120"/>
        <w:ind w:left="720"/>
        <w:jc w:val="both"/>
      </w:pPr>
      <w:r>
        <w:rPr>
          <w:rFonts w:ascii="Times New Roman" w:hAnsi="Times New Roman"/>
          <w:b w:val="0"/>
          <w:i w:val="0"/>
          <w:color w:val="000000"/>
          <w:sz w:val="22"/>
        </w:rPr>
        <w:t>(f) Such other records as are required by the Act or as the Member determines.</w:t>
      </w:r>
    </w:p>
    <w:p>
      <w:pPr>
        <w:spacing w:before="160" w:after="80"/>
      </w:pPr>
      <w:r>
        <w:rPr>
          <w:rFonts w:ascii="Times New Roman" w:hAnsi="Times New Roman"/>
          <w:b/>
          <w:i w:val="0"/>
          <w:color w:val="000000"/>
          <w:sz w:val="22"/>
        </w:rPr>
        <w:t>8.2 Fiscal Year.</w:t>
      </w:r>
      <w:r>
        <w:rPr>
          <w:rFonts w:ascii="Times New Roman" w:hAnsi="Times New Roman"/>
          <w:b w:val="0"/>
          <w:i w:val="0"/>
          <w:color w:val="000000"/>
          <w:sz w:val="22"/>
        </w:rPr>
        <w:t xml:space="preserve"> The fiscal year of the Company shall be the calendar year, unless otherwise determined by the Member.</w:t>
      </w:r>
    </w:p>
    <w:p>
      <w:pPr>
        <w:spacing w:before="160" w:after="80"/>
      </w:pPr>
      <w:r>
        <w:rPr>
          <w:rFonts w:ascii="Times New Roman" w:hAnsi="Times New Roman"/>
          <w:b/>
          <w:i w:val="0"/>
          <w:color w:val="000000"/>
          <w:sz w:val="22"/>
        </w:rPr>
        <w:t>8.3 Accounting Method.</w:t>
      </w:r>
      <w:r>
        <w:rPr>
          <w:rFonts w:ascii="Times New Roman" w:hAnsi="Times New Roman"/>
          <w:b w:val="0"/>
          <w:i w:val="0"/>
          <w:color w:val="000000"/>
          <w:sz w:val="22"/>
        </w:rPr>
        <w:t xml:space="preserve"> The Company shall use the method of accounting determined by the Member, consistent with applicable law and Treasury Regulations.</w:t>
      </w:r>
    </w:p>
    <w:p>
      <w:pPr>
        <w:spacing w:before="160" w:after="80"/>
      </w:pPr>
      <w:r>
        <w:rPr>
          <w:rFonts w:ascii="Times New Roman" w:hAnsi="Times New Roman"/>
          <w:b/>
          <w:i w:val="0"/>
          <w:color w:val="000000"/>
          <w:sz w:val="22"/>
        </w:rPr>
        <w:t>8.4 Separateness of Accounts.</w:t>
      </w:r>
      <w:r>
        <w:rPr>
          <w:rFonts w:ascii="Times New Roman" w:hAnsi="Times New Roman"/>
          <w:b w:val="0"/>
          <w:i w:val="0"/>
          <w:color w:val="000000"/>
          <w:sz w:val="22"/>
        </w:rPr>
        <w:t xml:space="preserve"> The Member shall maintain the Company's bank accounts, financial records, and assets strictly separate from the Member's personal accounts, financial records, and assets. The Member shall not commingle Company funds with personal funds.</w:t>
      </w:r>
    </w:p>
    <w:p>
      <w:pPr>
        <w:spacing w:before="360" w:after="120"/>
        <w:jc w:val="center"/>
      </w:pPr>
      <w:r>
        <w:rPr>
          <w:rFonts w:ascii="Times New Roman" w:hAnsi="Times New Roman"/>
          <w:b/>
          <w:i w:val="0"/>
          <w:color w:val="000000"/>
          <w:sz w:val="24"/>
        </w:rPr>
        <w:t>ARTICLE IX. TAX MATTERS</w:t>
      </w:r>
    </w:p>
    <w:p>
      <w:pPr>
        <w:spacing w:before="160" w:after="80"/>
      </w:pPr>
      <w:r>
        <w:rPr>
          <w:rFonts w:ascii="Times New Roman" w:hAnsi="Times New Roman"/>
          <w:b/>
          <w:i w:val="0"/>
          <w:color w:val="000000"/>
          <w:sz w:val="22"/>
        </w:rPr>
        <w:t>9.1 Tax Classification.</w:t>
      </w:r>
      <w:r>
        <w:rPr>
          <w:rFonts w:ascii="Times New Roman" w:hAnsi="Times New Roman"/>
          <w:b w:val="0"/>
          <w:i w:val="0"/>
          <w:color w:val="000000"/>
          <w:sz w:val="22"/>
        </w:rPr>
        <w:t xml:space="preserve"> The Company shall be classified for federal income tax purposes as elected from time to time by the Member, consistent with applicable Treasury Regulations. The Member may make, change, or revoke any tax classification election available under U.S. Treasury Regulations Section 301.7701-3 or any successor provision.</w:t>
      </w:r>
    </w:p>
    <w:p>
      <w:pPr>
        <w:spacing w:before="160" w:after="80"/>
      </w:pPr>
      <w:r>
        <w:rPr>
          <w:rFonts w:ascii="Times New Roman" w:hAnsi="Times New Roman"/>
          <w:b/>
          <w:i w:val="0"/>
          <w:color w:val="000000"/>
          <w:sz w:val="22"/>
        </w:rPr>
        <w:t>9.2 Entity-Level Liability.</w:t>
      </w:r>
      <w:r>
        <w:rPr>
          <w:rFonts w:ascii="Times New Roman" w:hAnsi="Times New Roman"/>
          <w:b w:val="0"/>
          <w:i w:val="0"/>
          <w:color w:val="000000"/>
          <w:sz w:val="22"/>
        </w:rPr>
        <w:t xml:space="preserve"> Notwithstanding the Company's tax classification, the Company shall at all times be treated as a legal entity separate and distinct from the Member for all non-tax purposes, including liability protection, contracts, property ownership, employment relationships, and federal contractor registration.</w:t>
      </w:r>
    </w:p>
    <w:p>
      <w:pPr>
        <w:spacing w:before="160" w:after="80"/>
      </w:pPr>
      <w:r>
        <w:rPr>
          <w:rFonts w:ascii="Times New Roman" w:hAnsi="Times New Roman"/>
          <w:b/>
          <w:i w:val="0"/>
          <w:color w:val="000000"/>
          <w:sz w:val="22"/>
        </w:rPr>
        <w:t>9.3 Employer Identification Number.</w:t>
      </w:r>
      <w:r>
        <w:rPr>
          <w:rFonts w:ascii="Times New Roman" w:hAnsi="Times New Roman"/>
          <w:b w:val="0"/>
          <w:i w:val="0"/>
          <w:color w:val="000000"/>
          <w:sz w:val="22"/>
        </w:rPr>
        <w:t xml:space="preserve"> The Company has obtained an Employer Identification Number from the Internal Revenue Service and shall use such Employer Identification Number in connection with all federal and state tax filings, banking, payroll (if applicable), and federal contracting.</w:t>
      </w:r>
    </w:p>
    <w:p>
      <w:pPr>
        <w:spacing w:before="360" w:after="120"/>
        <w:jc w:val="center"/>
      </w:pPr>
      <w:r>
        <w:rPr>
          <w:rFonts w:ascii="Times New Roman" w:hAnsi="Times New Roman"/>
          <w:b/>
          <w:i w:val="0"/>
          <w:color w:val="000000"/>
          <w:sz w:val="24"/>
        </w:rPr>
        <w:t>ARTICLE X. TRANSFER OF INTERESTS</w:t>
      </w:r>
    </w:p>
    <w:p>
      <w:pPr>
        <w:spacing w:before="160" w:after="80"/>
      </w:pPr>
      <w:r>
        <w:rPr>
          <w:rFonts w:ascii="Times New Roman" w:hAnsi="Times New Roman"/>
          <w:b/>
          <w:i w:val="0"/>
          <w:color w:val="000000"/>
          <w:sz w:val="22"/>
        </w:rPr>
        <w:t>10.1 Transfer by the Member.</w:t>
      </w:r>
      <w:r>
        <w:rPr>
          <w:rFonts w:ascii="Times New Roman" w:hAnsi="Times New Roman"/>
          <w:b w:val="0"/>
          <w:i w:val="0"/>
          <w:color w:val="000000"/>
          <w:sz w:val="22"/>
        </w:rPr>
        <w:t xml:space="preserve"> The Member may transfer, assign, pledge, or otherwise encumber all or any portion of the Member's Membership Interest at any time without restriction, subject to compliance with applicable law.</w:t>
      </w:r>
    </w:p>
    <w:p>
      <w:pPr>
        <w:spacing w:before="160" w:after="80"/>
      </w:pPr>
      <w:r>
        <w:rPr>
          <w:rFonts w:ascii="Times New Roman" w:hAnsi="Times New Roman"/>
          <w:b/>
          <w:i w:val="0"/>
          <w:color w:val="000000"/>
          <w:sz w:val="22"/>
        </w:rPr>
        <w:t>10.2 Admission of Transferee as Member.</w:t>
      </w:r>
      <w:r>
        <w:rPr>
          <w:rFonts w:ascii="Times New Roman" w:hAnsi="Times New Roman"/>
          <w:b w:val="0"/>
          <w:i w:val="0"/>
          <w:color w:val="000000"/>
          <w:sz w:val="22"/>
        </w:rPr>
        <w:t xml:space="preserve"> A transferee of all or any portion of the Member's Membership Interest shall become a member of the Company only upon the execution of an amendment to or restatement of this Agreement and compliance with any other conditions the Member or the transferee determines.</w:t>
      </w:r>
    </w:p>
    <w:p>
      <w:pPr>
        <w:spacing w:before="160" w:after="80"/>
      </w:pPr>
      <w:r>
        <w:rPr>
          <w:rFonts w:ascii="Times New Roman" w:hAnsi="Times New Roman"/>
          <w:b/>
          <w:i w:val="0"/>
          <w:color w:val="000000"/>
          <w:sz w:val="22"/>
        </w:rPr>
        <w:t>10.3 Charging Order as Sole Remedy.</w:t>
      </w:r>
      <w:r>
        <w:rPr>
          <w:rFonts w:ascii="Times New Roman" w:hAnsi="Times New Roman"/>
          <w:b w:val="0"/>
          <w:i w:val="0"/>
          <w:color w:val="000000"/>
          <w:sz w:val="22"/>
        </w:rPr>
        <w:t xml:space="preserve"> Pursuant to O.C.G.A. Section 14-11-504, a charging order shall be the sole and exclusive remedy available to any judgment creditor of the Member with respect to the Member's Membership Interest. No such creditor shall have any right to:</w:t>
      </w:r>
    </w:p>
    <w:p>
      <w:pPr>
        <w:spacing w:after="120"/>
        <w:ind w:left="720"/>
        <w:jc w:val="both"/>
      </w:pPr>
      <w:r>
        <w:rPr>
          <w:rFonts w:ascii="Times New Roman" w:hAnsi="Times New Roman"/>
          <w:b w:val="0"/>
          <w:i w:val="0"/>
          <w:color w:val="000000"/>
          <w:sz w:val="22"/>
        </w:rPr>
        <w:t>(a) Foreclose upon the Member's Membership Interest;</w:t>
      </w:r>
    </w:p>
    <w:p>
      <w:pPr>
        <w:spacing w:after="120"/>
        <w:ind w:left="720"/>
        <w:jc w:val="both"/>
      </w:pPr>
      <w:r>
        <w:rPr>
          <w:rFonts w:ascii="Times New Roman" w:hAnsi="Times New Roman"/>
          <w:b w:val="0"/>
          <w:i w:val="0"/>
          <w:color w:val="000000"/>
          <w:sz w:val="22"/>
        </w:rPr>
        <w:t>(b) Cause the dissolution of the Company;</w:t>
      </w:r>
    </w:p>
    <w:p>
      <w:pPr>
        <w:spacing w:after="120"/>
        <w:ind w:left="720"/>
        <w:jc w:val="both"/>
      </w:pPr>
      <w:r>
        <w:rPr>
          <w:rFonts w:ascii="Times New Roman" w:hAnsi="Times New Roman"/>
          <w:b w:val="0"/>
          <w:i w:val="0"/>
          <w:color w:val="000000"/>
          <w:sz w:val="22"/>
        </w:rPr>
        <w:t>(c) Participate in the management or affairs of the Company;</w:t>
      </w:r>
    </w:p>
    <w:p>
      <w:pPr>
        <w:spacing w:after="120"/>
        <w:ind w:left="720"/>
        <w:jc w:val="both"/>
      </w:pPr>
      <w:r>
        <w:rPr>
          <w:rFonts w:ascii="Times New Roman" w:hAnsi="Times New Roman"/>
          <w:b w:val="0"/>
          <w:i w:val="0"/>
          <w:color w:val="000000"/>
          <w:sz w:val="22"/>
        </w:rPr>
        <w:t>(d) Compel any distribution from the Company; or</w:t>
      </w:r>
    </w:p>
    <w:p>
      <w:pPr>
        <w:spacing w:after="120"/>
        <w:ind w:left="720"/>
        <w:jc w:val="both"/>
      </w:pPr>
      <w:r>
        <w:rPr>
          <w:rFonts w:ascii="Times New Roman" w:hAnsi="Times New Roman"/>
          <w:b w:val="0"/>
          <w:i w:val="0"/>
          <w:color w:val="000000"/>
          <w:sz w:val="22"/>
        </w:rPr>
        <w:t>(e) Have access to the Company's books, records, or property.</w:t>
      </w:r>
    </w:p>
    <w:p>
      <w:pPr>
        <w:spacing w:after="120"/>
        <w:ind w:left="720"/>
        <w:jc w:val="both"/>
      </w:pPr>
      <w:r>
        <w:rPr>
          <w:rFonts w:ascii="Times New Roman" w:hAnsi="Times New Roman"/>
          <w:b w:val="0"/>
          <w:i w:val="0"/>
          <w:color w:val="000000"/>
          <w:sz w:val="22"/>
        </w:rPr>
        <w:t>A charging order shall entitle the holder only to the distributions, if any, that would otherwise be made to the Member, and only as and when such distributions are actually made by the Company in accordance with this Agreement.</w:t>
      </w:r>
    </w:p>
    <w:p>
      <w:pPr>
        <w:spacing w:before="360" w:after="120"/>
        <w:jc w:val="center"/>
      </w:pPr>
      <w:r>
        <w:rPr>
          <w:rFonts w:ascii="Times New Roman" w:hAnsi="Times New Roman"/>
          <w:b/>
          <w:i w:val="0"/>
          <w:color w:val="000000"/>
          <w:sz w:val="24"/>
        </w:rPr>
        <w:t>ARTICLE XI. DISSOLUTION AND WINDING UP</w:t>
      </w:r>
    </w:p>
    <w:p>
      <w:pPr>
        <w:spacing w:before="160" w:after="80"/>
      </w:pPr>
      <w:r>
        <w:rPr>
          <w:rFonts w:ascii="Times New Roman" w:hAnsi="Times New Roman"/>
          <w:b/>
          <w:i w:val="0"/>
          <w:color w:val="000000"/>
          <w:sz w:val="22"/>
        </w:rPr>
        <w:t>11.1 Events of Dissolution.</w:t>
      </w:r>
      <w:r>
        <w:rPr>
          <w:rFonts w:ascii="Times New Roman" w:hAnsi="Times New Roman"/>
          <w:b w:val="0"/>
          <w:i w:val="0"/>
          <w:color w:val="000000"/>
          <w:sz w:val="22"/>
        </w:rPr>
        <w:t xml:space="preserve"> The Company shall be dissolved and its affairs wound up only upon the first to occur of the following:</w:t>
      </w:r>
    </w:p>
    <w:p>
      <w:pPr>
        <w:spacing w:after="120"/>
        <w:ind w:left="720"/>
        <w:jc w:val="both"/>
      </w:pPr>
      <w:r>
        <w:rPr>
          <w:rFonts w:ascii="Times New Roman" w:hAnsi="Times New Roman"/>
          <w:b w:val="0"/>
          <w:i w:val="0"/>
          <w:color w:val="000000"/>
          <w:sz w:val="22"/>
        </w:rPr>
        <w:t>(a) The written election of the Member to dissolve the Company;</w:t>
      </w:r>
    </w:p>
    <w:p>
      <w:pPr>
        <w:spacing w:after="120"/>
        <w:ind w:left="720"/>
        <w:jc w:val="both"/>
      </w:pPr>
      <w:r>
        <w:rPr>
          <w:rFonts w:ascii="Times New Roman" w:hAnsi="Times New Roman"/>
          <w:b w:val="0"/>
          <w:i w:val="0"/>
          <w:color w:val="000000"/>
          <w:sz w:val="22"/>
        </w:rPr>
        <w:t>(b) The entry of a decree of judicial dissolution under O.C.G.A. Section 14-11-603; or</w:t>
      </w:r>
    </w:p>
    <w:p>
      <w:pPr>
        <w:spacing w:after="120"/>
        <w:ind w:left="720"/>
        <w:jc w:val="both"/>
      </w:pPr>
      <w:r>
        <w:rPr>
          <w:rFonts w:ascii="Times New Roman" w:hAnsi="Times New Roman"/>
          <w:b w:val="0"/>
          <w:i w:val="0"/>
          <w:color w:val="000000"/>
          <w:sz w:val="22"/>
        </w:rPr>
        <w:t>(c) Any other event causing dissolution under the Act that cannot be cured under this Agreement.</w:t>
      </w:r>
    </w:p>
    <w:p>
      <w:pPr>
        <w:spacing w:before="160" w:after="80"/>
      </w:pPr>
      <w:r>
        <w:rPr>
          <w:rFonts w:ascii="Times New Roman" w:hAnsi="Times New Roman"/>
          <w:b/>
          <w:i w:val="0"/>
          <w:color w:val="000000"/>
          <w:sz w:val="22"/>
        </w:rPr>
        <w:t>11.2 Continuation upon Death or Incapacity.</w:t>
      </w:r>
      <w:r>
        <w:rPr>
          <w:rFonts w:ascii="Times New Roman" w:hAnsi="Times New Roman"/>
          <w:b w:val="0"/>
          <w:i w:val="0"/>
          <w:color w:val="000000"/>
          <w:sz w:val="22"/>
        </w:rPr>
        <w:t xml:space="preserve"> The death, incapacity, dissolution, bankruptcy, or insolvency of the Member shall not cause the dissolution of the Company. Upon any such event, the successor in interest identified in Article XII shall succeed to the Member's Membership Interest and shall be admitted as the successor Member without further action, and the Company shall continue without interruption.</w:t>
      </w:r>
    </w:p>
    <w:p>
      <w:pPr>
        <w:spacing w:before="160" w:after="80"/>
      </w:pPr>
      <w:r>
        <w:rPr>
          <w:rFonts w:ascii="Times New Roman" w:hAnsi="Times New Roman"/>
          <w:b/>
          <w:i w:val="0"/>
          <w:color w:val="000000"/>
          <w:sz w:val="22"/>
        </w:rPr>
        <w:t>11.3 Winding Up.</w:t>
      </w:r>
      <w:r>
        <w:rPr>
          <w:rFonts w:ascii="Times New Roman" w:hAnsi="Times New Roman"/>
          <w:b w:val="0"/>
          <w:i w:val="0"/>
          <w:color w:val="000000"/>
          <w:sz w:val="22"/>
        </w:rPr>
        <w:t xml:space="preserve"> Upon dissolution, the Member, or if the Member is unable to act, a person designated by the Member or appointed by a court, shall wind up the Company's affairs by:</w:t>
      </w:r>
    </w:p>
    <w:p>
      <w:pPr>
        <w:spacing w:after="120"/>
        <w:ind w:left="720"/>
        <w:jc w:val="both"/>
      </w:pPr>
      <w:r>
        <w:rPr>
          <w:rFonts w:ascii="Times New Roman" w:hAnsi="Times New Roman"/>
          <w:b w:val="0"/>
          <w:i w:val="0"/>
          <w:color w:val="000000"/>
          <w:sz w:val="22"/>
        </w:rPr>
        <w:t>(a) Collecting the Company's assets;</w:t>
      </w:r>
    </w:p>
    <w:p>
      <w:pPr>
        <w:spacing w:after="120"/>
        <w:ind w:left="720"/>
        <w:jc w:val="both"/>
      </w:pPr>
      <w:r>
        <w:rPr>
          <w:rFonts w:ascii="Times New Roman" w:hAnsi="Times New Roman"/>
          <w:b w:val="0"/>
          <w:i w:val="0"/>
          <w:color w:val="000000"/>
          <w:sz w:val="22"/>
        </w:rPr>
        <w:t>(b) Discharging the Company's liabilities, or making adequate provision therefor;</w:t>
      </w:r>
    </w:p>
    <w:p>
      <w:pPr>
        <w:spacing w:after="120"/>
        <w:ind w:left="720"/>
        <w:jc w:val="both"/>
      </w:pPr>
      <w:r>
        <w:rPr>
          <w:rFonts w:ascii="Times New Roman" w:hAnsi="Times New Roman"/>
          <w:b w:val="0"/>
          <w:i w:val="0"/>
          <w:color w:val="000000"/>
          <w:sz w:val="22"/>
        </w:rPr>
        <w:t>(c) Distributing any remaining assets to the Member or the Member's successor in interest; and</w:t>
      </w:r>
    </w:p>
    <w:p>
      <w:pPr>
        <w:spacing w:after="120"/>
        <w:ind w:left="720"/>
        <w:jc w:val="both"/>
      </w:pPr>
      <w:r>
        <w:rPr>
          <w:rFonts w:ascii="Times New Roman" w:hAnsi="Times New Roman"/>
          <w:b w:val="0"/>
          <w:i w:val="0"/>
          <w:color w:val="000000"/>
          <w:sz w:val="22"/>
        </w:rPr>
        <w:t>(d) Filing a Certificate of Termination with the Georgia Secretary of State.</w:t>
      </w:r>
    </w:p>
    <w:p>
      <w:pPr>
        <w:spacing w:before="160" w:after="80"/>
      </w:pPr>
      <w:r>
        <w:rPr>
          <w:rFonts w:ascii="Times New Roman" w:hAnsi="Times New Roman"/>
          <w:b/>
          <w:i w:val="0"/>
          <w:color w:val="000000"/>
          <w:sz w:val="22"/>
        </w:rPr>
        <w:t>11.4 Distribution Priority.</w:t>
      </w:r>
      <w:r>
        <w:rPr>
          <w:rFonts w:ascii="Times New Roman" w:hAnsi="Times New Roman"/>
          <w:b w:val="0"/>
          <w:i w:val="0"/>
          <w:color w:val="000000"/>
          <w:sz w:val="22"/>
        </w:rPr>
        <w:t xml:space="preserve"> Upon winding up, the Company's assets shall be distributed in the following order of priority:</w:t>
      </w:r>
    </w:p>
    <w:p>
      <w:pPr>
        <w:spacing w:after="120"/>
        <w:ind w:left="720"/>
        <w:jc w:val="both"/>
      </w:pPr>
      <w:r>
        <w:rPr>
          <w:rFonts w:ascii="Times New Roman" w:hAnsi="Times New Roman"/>
          <w:b/>
          <w:i w:val="0"/>
          <w:color w:val="000000"/>
          <w:sz w:val="22"/>
        </w:rPr>
        <w:t>(a) First</w:t>
      </w:r>
      <w:r>
        <w:rPr>
          <w:rFonts w:ascii="Times New Roman" w:hAnsi="Times New Roman"/>
          <w:b w:val="0"/>
          <w:i w:val="0"/>
          <w:color w:val="000000"/>
          <w:sz w:val="22"/>
        </w:rPr>
        <w:t>, to creditors of the Company, including the Member as a creditor (other than for distributions), in satisfaction of the Company's liabilities;</w:t>
      </w:r>
    </w:p>
    <w:p>
      <w:pPr>
        <w:spacing w:after="120"/>
        <w:ind w:left="720"/>
        <w:jc w:val="both"/>
      </w:pPr>
      <w:r>
        <w:rPr>
          <w:rFonts w:ascii="Times New Roman" w:hAnsi="Times New Roman"/>
          <w:b/>
          <w:i w:val="0"/>
          <w:color w:val="000000"/>
          <w:sz w:val="22"/>
        </w:rPr>
        <w:t>(b) Second</w:t>
      </w:r>
      <w:r>
        <w:rPr>
          <w:rFonts w:ascii="Times New Roman" w:hAnsi="Times New Roman"/>
          <w:b w:val="0"/>
          <w:i w:val="0"/>
          <w:color w:val="000000"/>
          <w:sz w:val="22"/>
        </w:rPr>
        <w:t>, to the establishment of reserves the winding-up party deems reasonably necessary for contingent or unforeseen liabilities; and</w:t>
      </w:r>
    </w:p>
    <w:p>
      <w:pPr>
        <w:spacing w:after="120"/>
        <w:ind w:left="720"/>
        <w:jc w:val="both"/>
      </w:pPr>
      <w:r>
        <w:rPr>
          <w:rFonts w:ascii="Times New Roman" w:hAnsi="Times New Roman"/>
          <w:b/>
          <w:i w:val="0"/>
          <w:color w:val="000000"/>
          <w:sz w:val="22"/>
        </w:rPr>
        <w:t>(c) Third</w:t>
      </w:r>
      <w:r>
        <w:rPr>
          <w:rFonts w:ascii="Times New Roman" w:hAnsi="Times New Roman"/>
          <w:b w:val="0"/>
          <w:i w:val="0"/>
          <w:color w:val="000000"/>
          <w:sz w:val="22"/>
        </w:rPr>
        <w:t>, to the Member or the Member's successor in interest.</w:t>
      </w:r>
    </w:p>
    <w:p>
      <w:pPr>
        <w:spacing w:before="360" w:after="120"/>
        <w:jc w:val="center"/>
      </w:pPr>
      <w:r>
        <w:rPr>
          <w:rFonts w:ascii="Times New Roman" w:hAnsi="Times New Roman"/>
          <w:b/>
          <w:i w:val="0"/>
          <w:color w:val="000000"/>
          <w:sz w:val="24"/>
        </w:rPr>
        <w:t>ARTICLE XII. SUCCESSION AND INCAPACITY</w:t>
      </w:r>
    </w:p>
    <w:p>
      <w:pPr>
        <w:spacing w:before="160" w:after="80"/>
      </w:pPr>
      <w:r>
        <w:rPr>
          <w:rFonts w:ascii="Times New Roman" w:hAnsi="Times New Roman"/>
          <w:b/>
          <w:i w:val="0"/>
          <w:color w:val="000000"/>
          <w:sz w:val="22"/>
        </w:rPr>
        <w:t>12.1 Designated Successor.</w:t>
      </w:r>
      <w:r>
        <w:rPr>
          <w:rFonts w:ascii="Times New Roman" w:hAnsi="Times New Roman"/>
          <w:b w:val="0"/>
          <w:i w:val="0"/>
          <w:color w:val="000000"/>
          <w:sz w:val="22"/>
        </w:rPr>
        <w:t xml:space="preserve"> In the event of the Member's death, the Member's entire Membership Interest, including all economic and governance rights appurtenant thereto, shall pass to Linda Tigoue Ahlonkoaba (the "Designated Successor"). Upon such transfer, the Designated Successor shall be admitted as the sole successor Member of the Company without further action, subject only to the Designated Successor's execution of a written acknowledgment of the terms of this Agreement (as may then be amended or restated).</w:t>
      </w:r>
    </w:p>
    <w:p>
      <w:pPr>
        <w:spacing w:before="160" w:after="80"/>
      </w:pPr>
      <w:r>
        <w:rPr>
          <w:rFonts w:ascii="Times New Roman" w:hAnsi="Times New Roman"/>
          <w:b/>
          <w:i w:val="0"/>
          <w:color w:val="000000"/>
          <w:sz w:val="22"/>
        </w:rPr>
        <w:t>12.2 Failure of Designated Successor.</w:t>
      </w:r>
      <w:r>
        <w:rPr>
          <w:rFonts w:ascii="Times New Roman" w:hAnsi="Times New Roman"/>
          <w:b w:val="0"/>
          <w:i w:val="0"/>
          <w:color w:val="000000"/>
          <w:sz w:val="22"/>
        </w:rPr>
        <w:t xml:space="preserve"> If the Designated Successor predeceases the Member, disclaims the Membership Interest, or is otherwise unable or unwilling to accept the Membership Interest, the Membership Interest shall pass to the Member's estate or successors in interest as determined under applicable Georgia probate law.</w:t>
      </w:r>
    </w:p>
    <w:p>
      <w:pPr>
        <w:spacing w:before="160" w:after="80"/>
      </w:pPr>
      <w:r>
        <w:rPr>
          <w:rFonts w:ascii="Times New Roman" w:hAnsi="Times New Roman"/>
          <w:b/>
          <w:i w:val="0"/>
          <w:color w:val="000000"/>
          <w:sz w:val="22"/>
        </w:rPr>
        <w:t>12.3 Amendment of Successor Designation.</w:t>
      </w:r>
      <w:r>
        <w:rPr>
          <w:rFonts w:ascii="Times New Roman" w:hAnsi="Times New Roman"/>
          <w:b w:val="0"/>
          <w:i w:val="0"/>
          <w:color w:val="000000"/>
          <w:sz w:val="22"/>
        </w:rPr>
        <w:t xml:space="preserve"> The Member may amend, supplement, or revoke the designation of the Designated Successor at any time by a written instrument signed by the Member and filed with the books and records of the Company, or by the execution of a will, codicil, trust, or other testamentary instrument expressly addressing the Membership Interest.</w:t>
      </w:r>
    </w:p>
    <w:p>
      <w:pPr>
        <w:spacing w:before="160" w:after="80"/>
      </w:pPr>
      <w:r>
        <w:rPr>
          <w:rFonts w:ascii="Times New Roman" w:hAnsi="Times New Roman"/>
          <w:b/>
          <w:i w:val="0"/>
          <w:color w:val="000000"/>
          <w:sz w:val="22"/>
        </w:rPr>
        <w:t>12.4 Interim Authority.</w:t>
      </w:r>
      <w:r>
        <w:rPr>
          <w:rFonts w:ascii="Times New Roman" w:hAnsi="Times New Roman"/>
          <w:b w:val="0"/>
          <w:i w:val="0"/>
          <w:color w:val="000000"/>
          <w:sz w:val="22"/>
        </w:rPr>
        <w:t xml:space="preserve"> During any period of the Member's temporary incapacity, the holder of a valid durable power of attorney executed by the Member, or such other person as the Member designates in writing, shall be authorized to act on behalf of the Member with respect to the Member's Membership Interest and the management of the Company.</w:t>
      </w:r>
    </w:p>
    <w:p>
      <w:pPr>
        <w:spacing w:before="360" w:after="120"/>
        <w:jc w:val="center"/>
      </w:pPr>
      <w:r>
        <w:rPr>
          <w:rFonts w:ascii="Times New Roman" w:hAnsi="Times New Roman"/>
          <w:b/>
          <w:i w:val="0"/>
          <w:color w:val="000000"/>
          <w:sz w:val="24"/>
        </w:rPr>
        <w:t>ARTICLE XIII. LIMITATION OF LIABILITY AND INDEMNIFICATION</w:t>
      </w:r>
    </w:p>
    <w:p>
      <w:pPr>
        <w:spacing w:before="160" w:after="80"/>
      </w:pPr>
      <w:r>
        <w:rPr>
          <w:rFonts w:ascii="Times New Roman" w:hAnsi="Times New Roman"/>
          <w:b/>
          <w:i w:val="0"/>
          <w:color w:val="000000"/>
          <w:sz w:val="22"/>
        </w:rPr>
        <w:t>13.1 Limitation of Liability.</w:t>
      </w:r>
      <w:r>
        <w:rPr>
          <w:rFonts w:ascii="Times New Roman" w:hAnsi="Times New Roman"/>
          <w:b w:val="0"/>
          <w:i w:val="0"/>
          <w:color w:val="000000"/>
          <w:sz w:val="22"/>
        </w:rPr>
        <w:t xml:space="preserve"> Pursuant to O.C.G.A. Section 14-11-303, no member, manager, agent, or employee of the Company shall be personally liable for any debt, obligation, or liability of the Company, whether arising in contract, tort, or otherwise, solely by reason of being or acting as a member, manager, agent, or employee of the Company.</w:t>
      </w:r>
    </w:p>
    <w:p>
      <w:pPr>
        <w:spacing w:before="160" w:after="80"/>
      </w:pPr>
      <w:r>
        <w:rPr>
          <w:rFonts w:ascii="Times New Roman" w:hAnsi="Times New Roman"/>
          <w:b/>
          <w:i w:val="0"/>
          <w:color w:val="000000"/>
          <w:sz w:val="22"/>
        </w:rPr>
        <w:t>13.2 Separate Entity.</w:t>
      </w:r>
      <w:r>
        <w:rPr>
          <w:rFonts w:ascii="Times New Roman" w:hAnsi="Times New Roman"/>
          <w:b w:val="0"/>
          <w:i w:val="0"/>
          <w:color w:val="000000"/>
          <w:sz w:val="22"/>
        </w:rPr>
        <w:t xml:space="preserve"> The Member expressly intends, and the Company shall at all times be operated such that, the Company is a legal entity separate and distinct from the Member. The Member shall not:</w:t>
      </w:r>
    </w:p>
    <w:p>
      <w:pPr>
        <w:spacing w:after="120"/>
        <w:ind w:left="720"/>
        <w:jc w:val="both"/>
      </w:pPr>
      <w:r>
        <w:rPr>
          <w:rFonts w:ascii="Times New Roman" w:hAnsi="Times New Roman"/>
          <w:b w:val="0"/>
          <w:i w:val="0"/>
          <w:color w:val="000000"/>
          <w:sz w:val="22"/>
        </w:rPr>
        <w:t>(a) Commingle Company funds, property, or records with the Member's personal funds, property, or records;</w:t>
      </w:r>
    </w:p>
    <w:p>
      <w:pPr>
        <w:spacing w:after="120"/>
        <w:ind w:left="720"/>
        <w:jc w:val="both"/>
      </w:pPr>
      <w:r>
        <w:rPr>
          <w:rFonts w:ascii="Times New Roman" w:hAnsi="Times New Roman"/>
          <w:b w:val="0"/>
          <w:i w:val="0"/>
          <w:color w:val="000000"/>
          <w:sz w:val="22"/>
        </w:rPr>
        <w:t>(b) Use Company funds or property for personal purposes without proper accounting, documentation, and reasonable compensation to the Company;</w:t>
      </w:r>
    </w:p>
    <w:p>
      <w:pPr>
        <w:spacing w:after="120"/>
        <w:ind w:left="720"/>
        <w:jc w:val="both"/>
      </w:pPr>
      <w:r>
        <w:rPr>
          <w:rFonts w:ascii="Times New Roman" w:hAnsi="Times New Roman"/>
          <w:b w:val="0"/>
          <w:i w:val="0"/>
          <w:color w:val="000000"/>
          <w:sz w:val="22"/>
        </w:rPr>
        <w:t>(c) Hold out the Member's personal assets as Company assets, or the reverse; or</w:t>
      </w:r>
    </w:p>
    <w:p>
      <w:pPr>
        <w:spacing w:after="120"/>
        <w:ind w:left="720"/>
        <w:jc w:val="both"/>
      </w:pPr>
      <w:r>
        <w:rPr>
          <w:rFonts w:ascii="Times New Roman" w:hAnsi="Times New Roman"/>
          <w:b w:val="0"/>
          <w:i w:val="0"/>
          <w:color w:val="000000"/>
          <w:sz w:val="22"/>
        </w:rPr>
        <w:t>(d) Otherwise disregard the separate existence of the Company.</w:t>
      </w:r>
    </w:p>
    <w:p>
      <w:pPr>
        <w:spacing w:after="120"/>
        <w:ind w:left="720"/>
        <w:jc w:val="both"/>
      </w:pPr>
      <w:r>
        <w:rPr>
          <w:rFonts w:ascii="Times New Roman" w:hAnsi="Times New Roman"/>
          <w:b w:val="0"/>
          <w:i w:val="0"/>
          <w:color w:val="000000"/>
          <w:sz w:val="22"/>
        </w:rPr>
        <w:t>This Section 13.2 is intended to support the integrity of the Company's limited liability protection.</w:t>
      </w:r>
    </w:p>
    <w:p>
      <w:pPr>
        <w:spacing w:before="160" w:after="80"/>
      </w:pPr>
      <w:r>
        <w:rPr>
          <w:rFonts w:ascii="Times New Roman" w:hAnsi="Times New Roman"/>
          <w:b/>
          <w:i w:val="0"/>
          <w:color w:val="000000"/>
          <w:sz w:val="22"/>
        </w:rPr>
        <w:t>13.3 Indemnification.</w:t>
      </w:r>
      <w:r>
        <w:rPr>
          <w:rFonts w:ascii="Times New Roman" w:hAnsi="Times New Roman"/>
          <w:b w:val="0"/>
          <w:i w:val="0"/>
          <w:color w:val="000000"/>
          <w:sz w:val="22"/>
        </w:rPr>
        <w:t xml:space="preserve"> To the fullest extent permitted by the Act, the Company shall indemnify, defend, and hold harmless the Member, and any officer, agent, employee, attorney, or representative of the Company designated by the Member, from and against any and all losses, claims, damages, liabilities, judgments, fines, settlements, costs, and expenses (including reasonable attorneys' fees) incurred by such person by reason of any act or omission performed or omitted in good faith on behalf of the Company and in a manner reasonably believed to be within the scope of authority conferred by this Agreement, except for acts or omissions constituting fraud, willful misconduct, or knowing violation of law.</w:t>
      </w:r>
    </w:p>
    <w:p>
      <w:pPr>
        <w:spacing w:before="160" w:after="80"/>
      </w:pPr>
      <w:r>
        <w:rPr>
          <w:rFonts w:ascii="Times New Roman" w:hAnsi="Times New Roman"/>
          <w:b/>
          <w:i w:val="0"/>
          <w:color w:val="000000"/>
          <w:sz w:val="22"/>
        </w:rPr>
        <w:t>13.4 Advancement of Expenses.</w:t>
      </w:r>
      <w:r>
        <w:rPr>
          <w:rFonts w:ascii="Times New Roman" w:hAnsi="Times New Roman"/>
          <w:b w:val="0"/>
          <w:i w:val="0"/>
          <w:color w:val="000000"/>
          <w:sz w:val="22"/>
        </w:rPr>
        <w:t xml:space="preserve"> The Company may advance reasonable expenses (including attorneys' fees) incurred by any indemnified person in defending any action, suit, or proceeding in advance of its final disposition, upon receipt of an undertaking by such person to repay such amount if it is ultimately determined that such person is not entitled to indemnification under this Agreement or the Act.</w:t>
      </w:r>
    </w:p>
    <w:p>
      <w:pPr>
        <w:spacing w:before="160" w:after="80"/>
      </w:pPr>
      <w:r>
        <w:rPr>
          <w:rFonts w:ascii="Times New Roman" w:hAnsi="Times New Roman"/>
          <w:b/>
          <w:i w:val="0"/>
          <w:color w:val="000000"/>
          <w:sz w:val="22"/>
        </w:rPr>
        <w:t>13.5 Insurance.</w:t>
      </w:r>
      <w:r>
        <w:rPr>
          <w:rFonts w:ascii="Times New Roman" w:hAnsi="Times New Roman"/>
          <w:b w:val="0"/>
          <w:i w:val="0"/>
          <w:color w:val="000000"/>
          <w:sz w:val="22"/>
        </w:rPr>
        <w:t xml:space="preserve"> The Company may, but is not required to, purchase and maintain insurance on behalf of any indemnified person against any liability that may be asserted against such person, whether or not the Company would have the power to indemnify such person under this Article XIII.</w:t>
      </w:r>
    </w:p>
    <w:p>
      <w:pPr>
        <w:spacing w:before="360" w:after="120"/>
        <w:jc w:val="center"/>
      </w:pPr>
      <w:r>
        <w:rPr>
          <w:rFonts w:ascii="Times New Roman" w:hAnsi="Times New Roman"/>
          <w:b/>
          <w:i w:val="0"/>
          <w:color w:val="000000"/>
          <w:sz w:val="24"/>
        </w:rPr>
        <w:t>ARTICLE XIV. BANKING AND FINANCIAL AUTHORITY</w:t>
      </w:r>
    </w:p>
    <w:p>
      <w:pPr>
        <w:spacing w:before="160" w:after="80"/>
      </w:pPr>
      <w:r>
        <w:rPr>
          <w:rFonts w:ascii="Times New Roman" w:hAnsi="Times New Roman"/>
          <w:b/>
          <w:i w:val="0"/>
          <w:color w:val="000000"/>
          <w:sz w:val="22"/>
        </w:rPr>
        <w:t>14.1 Bank Accounts.</w:t>
      </w:r>
      <w:r>
        <w:rPr>
          <w:rFonts w:ascii="Times New Roman" w:hAnsi="Times New Roman"/>
          <w:b w:val="0"/>
          <w:i w:val="0"/>
          <w:color w:val="000000"/>
          <w:sz w:val="22"/>
        </w:rPr>
        <w:t xml:space="preserve"> All funds of the Company shall be deposited in one or more accounts in the name of the Company at such financial institutions as the Member designates. Company funds shall not be commingled with the personal funds of the Member.</w:t>
      </w:r>
    </w:p>
    <w:p>
      <w:pPr>
        <w:spacing w:before="160" w:after="80"/>
      </w:pPr>
      <w:r>
        <w:rPr>
          <w:rFonts w:ascii="Times New Roman" w:hAnsi="Times New Roman"/>
          <w:b/>
          <w:i w:val="0"/>
          <w:color w:val="000000"/>
          <w:sz w:val="22"/>
        </w:rPr>
        <w:t>14.2 Authorized Signatories.</w:t>
      </w:r>
      <w:r>
        <w:rPr>
          <w:rFonts w:ascii="Times New Roman" w:hAnsi="Times New Roman"/>
          <w:b w:val="0"/>
          <w:i w:val="0"/>
          <w:color w:val="000000"/>
          <w:sz w:val="22"/>
        </w:rPr>
        <w:t xml:space="preserve"> The Member is the sole authorized signatory on all Company accounts unless and until the Member designates additional signatories in writing. Any such designation shall be filed with the relevant financial institution and the books and records of the Company.</w:t>
      </w:r>
    </w:p>
    <w:p>
      <w:pPr>
        <w:spacing w:before="160" w:after="80"/>
      </w:pPr>
      <w:r>
        <w:rPr>
          <w:rFonts w:ascii="Times New Roman" w:hAnsi="Times New Roman"/>
          <w:b/>
          <w:i w:val="0"/>
          <w:color w:val="000000"/>
          <w:sz w:val="22"/>
        </w:rPr>
        <w:t>14.3 Use of Funds.</w:t>
      </w:r>
      <w:r>
        <w:rPr>
          <w:rFonts w:ascii="Times New Roman" w:hAnsi="Times New Roman"/>
          <w:b w:val="0"/>
          <w:i w:val="0"/>
          <w:color w:val="000000"/>
          <w:sz w:val="22"/>
        </w:rPr>
        <w:t xml:space="preserve"> Company funds shall be used solely for Company purposes, including payment of Company obligations, reasonable compensation and reimbursement of the Member for services rendered or expenses incurred on behalf of the Company, and distributions to the Member made in accordance with this Agreement.</w:t>
      </w:r>
    </w:p>
    <w:p>
      <w:pPr>
        <w:spacing w:before="360" w:after="120"/>
        <w:jc w:val="center"/>
      </w:pPr>
      <w:r>
        <w:rPr>
          <w:rFonts w:ascii="Times New Roman" w:hAnsi="Times New Roman"/>
          <w:b/>
          <w:i w:val="0"/>
          <w:color w:val="000000"/>
          <w:sz w:val="24"/>
        </w:rPr>
        <w:t>ARTICLE XV. INTELLECTUAL PROPERTY</w:t>
      </w:r>
    </w:p>
    <w:p>
      <w:pPr>
        <w:spacing w:before="160" w:after="80"/>
      </w:pPr>
      <w:r>
        <w:rPr>
          <w:rFonts w:ascii="Times New Roman" w:hAnsi="Times New Roman"/>
          <w:b/>
          <w:i w:val="0"/>
          <w:color w:val="000000"/>
          <w:sz w:val="22"/>
        </w:rPr>
        <w:t>15.1 Ownership of Company Intellectual Property.</w:t>
      </w:r>
      <w:r>
        <w:rPr>
          <w:rFonts w:ascii="Times New Roman" w:hAnsi="Times New Roman"/>
          <w:b w:val="0"/>
          <w:i w:val="0"/>
          <w:color w:val="000000"/>
          <w:sz w:val="22"/>
        </w:rPr>
        <w:t xml:space="preserve"> All intellectual property, including patents, trademarks, copyrights, trade secrets, know-how, software, documentation, content, and brand assets, that is developed, acquired, or used by the Company in the course of its business shall be the property of the Company.</w:t>
      </w:r>
    </w:p>
    <w:p>
      <w:pPr>
        <w:spacing w:before="160" w:after="80"/>
      </w:pPr>
      <w:r>
        <w:rPr>
          <w:rFonts w:ascii="Times New Roman" w:hAnsi="Times New Roman"/>
          <w:b/>
          <w:i w:val="0"/>
          <w:color w:val="000000"/>
          <w:sz w:val="22"/>
        </w:rPr>
        <w:t>15.2 Assignment by Member.</w:t>
      </w:r>
      <w:r>
        <w:rPr>
          <w:rFonts w:ascii="Times New Roman" w:hAnsi="Times New Roman"/>
          <w:b w:val="0"/>
          <w:i w:val="0"/>
          <w:color w:val="000000"/>
          <w:sz w:val="22"/>
        </w:rPr>
        <w:t xml:space="preserve"> To the extent the Member has previously developed, contributed, or licensed any intellectual property to the Company in furtherance of its business, the Member hereby assigns, transfers, and conveys to the Company all right, title, and interest in and to such intellectual property, subject to any reservations expressly set forth in a separate writing executed by the Member and the Company.</w:t>
      </w:r>
    </w:p>
    <w:p>
      <w:pPr>
        <w:spacing w:before="160" w:after="80"/>
      </w:pPr>
      <w:r>
        <w:rPr>
          <w:rFonts w:ascii="Times New Roman" w:hAnsi="Times New Roman"/>
          <w:b/>
          <w:i w:val="0"/>
          <w:color w:val="000000"/>
          <w:sz w:val="22"/>
        </w:rPr>
        <w:t>15.3 Licenses to Member.</w:t>
      </w:r>
      <w:r>
        <w:rPr>
          <w:rFonts w:ascii="Times New Roman" w:hAnsi="Times New Roman"/>
          <w:b w:val="0"/>
          <w:i w:val="0"/>
          <w:color w:val="000000"/>
          <w:sz w:val="22"/>
        </w:rPr>
        <w:t xml:space="preserve"> The Company may grant the Member a non-exclusive, royalty-free license to use Company intellectual property for purposes that do not materially compete with or impair the Company's business, on such terms as the Member determines.</w:t>
      </w:r>
    </w:p>
    <w:p>
      <w:pPr>
        <w:spacing w:before="360" w:after="120"/>
        <w:jc w:val="center"/>
      </w:pPr>
      <w:r>
        <w:rPr>
          <w:rFonts w:ascii="Times New Roman" w:hAnsi="Times New Roman"/>
          <w:b/>
          <w:i w:val="0"/>
          <w:color w:val="000000"/>
          <w:sz w:val="24"/>
        </w:rPr>
        <w:t>ARTICLE XVI. FEDERAL AND STATE CONTRACTING</w:t>
      </w:r>
    </w:p>
    <w:p>
      <w:pPr>
        <w:spacing w:before="160" w:after="80"/>
      </w:pPr>
      <w:r>
        <w:rPr>
          <w:rFonts w:ascii="Times New Roman" w:hAnsi="Times New Roman"/>
          <w:b/>
          <w:i w:val="0"/>
          <w:color w:val="000000"/>
          <w:sz w:val="22"/>
        </w:rPr>
        <w:t>16.1 Authority to Contract.</w:t>
      </w:r>
      <w:r>
        <w:rPr>
          <w:rFonts w:ascii="Times New Roman" w:hAnsi="Times New Roman"/>
          <w:b w:val="0"/>
          <w:i w:val="0"/>
          <w:color w:val="000000"/>
          <w:sz w:val="22"/>
        </w:rPr>
        <w:t xml:space="preserve"> The Member, acting on behalf of the Company, is authorized to register, certify, and maintain the Company's status with any federal, state, or local government contracting system or program, including:</w:t>
      </w:r>
    </w:p>
    <w:p>
      <w:pPr>
        <w:spacing w:after="120"/>
        <w:ind w:left="720"/>
        <w:jc w:val="both"/>
      </w:pPr>
      <w:r>
        <w:rPr>
          <w:rFonts w:ascii="Times New Roman" w:hAnsi="Times New Roman"/>
          <w:b w:val="0"/>
          <w:i w:val="0"/>
          <w:color w:val="000000"/>
          <w:sz w:val="22"/>
        </w:rPr>
        <w:t>(a) The System for Award Management (SAM.gov);</w:t>
      </w:r>
    </w:p>
    <w:p>
      <w:pPr>
        <w:spacing w:after="120"/>
        <w:ind w:left="720"/>
        <w:jc w:val="both"/>
      </w:pPr>
      <w:r>
        <w:rPr>
          <w:rFonts w:ascii="Times New Roman" w:hAnsi="Times New Roman"/>
          <w:b w:val="0"/>
          <w:i w:val="0"/>
          <w:color w:val="000000"/>
          <w:sz w:val="22"/>
        </w:rPr>
        <w:t>(b) The U.S. Small Business Administration certification programs, including HUBZone, 8(a), Women-Owned Small Business, and similar programs;</w:t>
      </w:r>
    </w:p>
    <w:p>
      <w:pPr>
        <w:spacing w:after="120"/>
        <w:ind w:left="720"/>
        <w:jc w:val="both"/>
      </w:pPr>
      <w:r>
        <w:rPr>
          <w:rFonts w:ascii="Times New Roman" w:hAnsi="Times New Roman"/>
          <w:b w:val="0"/>
          <w:i w:val="0"/>
          <w:color w:val="000000"/>
          <w:sz w:val="22"/>
        </w:rPr>
        <w:t>(c) The Defense Logistics Agency Commercial and Government Entity Code program;</w:t>
      </w:r>
    </w:p>
    <w:p>
      <w:pPr>
        <w:spacing w:after="120"/>
        <w:ind w:left="720"/>
        <w:jc w:val="both"/>
      </w:pPr>
      <w:r>
        <w:rPr>
          <w:rFonts w:ascii="Times New Roman" w:hAnsi="Times New Roman"/>
          <w:b w:val="0"/>
          <w:i w:val="0"/>
          <w:color w:val="000000"/>
          <w:sz w:val="22"/>
        </w:rPr>
        <w:t>(d) State and local procurement registration systems; and</w:t>
      </w:r>
    </w:p>
    <w:p>
      <w:pPr>
        <w:spacing w:after="120"/>
        <w:ind w:left="720"/>
        <w:jc w:val="both"/>
      </w:pPr>
      <w:r>
        <w:rPr>
          <w:rFonts w:ascii="Times New Roman" w:hAnsi="Times New Roman"/>
          <w:b w:val="0"/>
          <w:i w:val="0"/>
          <w:color w:val="000000"/>
          <w:sz w:val="22"/>
        </w:rPr>
        <w:t>(e) Any other government contracting or vendor registration program.</w:t>
      </w:r>
    </w:p>
    <w:p>
      <w:pPr>
        <w:spacing w:before="160" w:after="80"/>
      </w:pPr>
      <w:r>
        <w:rPr>
          <w:rFonts w:ascii="Times New Roman" w:hAnsi="Times New Roman"/>
          <w:b/>
          <w:i w:val="0"/>
          <w:color w:val="000000"/>
          <w:sz w:val="22"/>
        </w:rPr>
        <w:t>16.2 Compliance.</w:t>
      </w:r>
      <w:r>
        <w:rPr>
          <w:rFonts w:ascii="Times New Roman" w:hAnsi="Times New Roman"/>
          <w:b w:val="0"/>
          <w:i w:val="0"/>
          <w:color w:val="000000"/>
          <w:sz w:val="22"/>
        </w:rPr>
        <w:t xml:space="preserve"> The Company shall comply with all applicable laws, regulations, and contractual obligations arising from its participation in any government contract, subcontract, grant, or set-aside program, including, where applicable, the Federal Acquisition Regulation, the Defense Federal Acquisition Regulation Supplement, and Small Business Administration program regulations.</w:t>
      </w:r>
    </w:p>
    <w:p>
      <w:pPr>
        <w:spacing w:before="160" w:after="80"/>
      </w:pPr>
      <w:r>
        <w:rPr>
          <w:rFonts w:ascii="Times New Roman" w:hAnsi="Times New Roman"/>
          <w:b/>
          <w:i w:val="0"/>
          <w:color w:val="000000"/>
          <w:sz w:val="22"/>
        </w:rPr>
        <w:t>16.3 Records Retention.</w:t>
      </w:r>
      <w:r>
        <w:rPr>
          <w:rFonts w:ascii="Times New Roman" w:hAnsi="Times New Roman"/>
          <w:b w:val="0"/>
          <w:i w:val="0"/>
          <w:color w:val="000000"/>
          <w:sz w:val="22"/>
        </w:rPr>
        <w:t xml:space="preserve"> The Company shall retain records related to government contracts, certifications, and program eligibility for the periods required by applicable law and regulation, and in any event for not less than six (6) years after the close of the relevant contract or certification period.</w:t>
      </w:r>
    </w:p>
    <w:p>
      <w:pPr>
        <w:spacing w:before="360" w:after="120"/>
        <w:jc w:val="center"/>
      </w:pPr>
      <w:r>
        <w:rPr>
          <w:rFonts w:ascii="Times New Roman" w:hAnsi="Times New Roman"/>
          <w:b/>
          <w:i w:val="0"/>
          <w:color w:val="000000"/>
          <w:sz w:val="24"/>
        </w:rPr>
        <w:t>ARTICLE XVII. GENERAL PROVISIONS</w:t>
      </w:r>
    </w:p>
    <w:p>
      <w:pPr>
        <w:spacing w:before="160" w:after="80"/>
      </w:pPr>
      <w:r>
        <w:rPr>
          <w:rFonts w:ascii="Times New Roman" w:hAnsi="Times New Roman"/>
          <w:b/>
          <w:i w:val="0"/>
          <w:color w:val="000000"/>
          <w:sz w:val="22"/>
        </w:rPr>
        <w:t>17.1 Governing Law.</w:t>
      </w:r>
      <w:r>
        <w:rPr>
          <w:rFonts w:ascii="Times New Roman" w:hAnsi="Times New Roman"/>
          <w:b w:val="0"/>
          <w:i w:val="0"/>
          <w:color w:val="000000"/>
          <w:sz w:val="22"/>
        </w:rPr>
        <w:t xml:space="preserve"> This Agreement shall be governed by, and construed in accordance with, the laws of the State of Georgia, without regard to its conflict-of-laws principles.</w:t>
      </w:r>
    </w:p>
    <w:p>
      <w:pPr>
        <w:spacing w:before="160" w:after="80"/>
      </w:pPr>
      <w:r>
        <w:rPr>
          <w:rFonts w:ascii="Times New Roman" w:hAnsi="Times New Roman"/>
          <w:b/>
          <w:i w:val="0"/>
          <w:color w:val="000000"/>
          <w:sz w:val="22"/>
        </w:rPr>
        <w:t>17.2 Amendment.</w:t>
      </w:r>
      <w:r>
        <w:rPr>
          <w:rFonts w:ascii="Times New Roman" w:hAnsi="Times New Roman"/>
          <w:b w:val="0"/>
          <w:i w:val="0"/>
          <w:color w:val="000000"/>
          <w:sz w:val="22"/>
        </w:rPr>
        <w:t xml:space="preserve"> This Agreement may be amended, modified, or restated only by a written instrument signed by the Member.</w:t>
      </w:r>
    </w:p>
    <w:p>
      <w:pPr>
        <w:spacing w:before="160" w:after="80"/>
      </w:pPr>
      <w:r>
        <w:rPr>
          <w:rFonts w:ascii="Times New Roman" w:hAnsi="Times New Roman"/>
          <w:b/>
          <w:i w:val="0"/>
          <w:color w:val="000000"/>
          <w:sz w:val="22"/>
        </w:rPr>
        <w:t>17.3 Severability.</w:t>
      </w:r>
      <w:r>
        <w:rPr>
          <w:rFonts w:ascii="Times New Roman" w:hAnsi="Times New Roman"/>
          <w:b w:val="0"/>
          <w:i w:val="0"/>
          <w:color w:val="000000"/>
          <w:sz w:val="22"/>
        </w:rPr>
        <w:t xml:space="preserve"> If any provision of this Agreement is held to be invalid, illegal, or unenforceable, the remaining provisions shall continue in full force and effect, and the invalid provision shall be construed or reformed to give effect to the original intent of the Member to the fullest extent permitted by law.</w:t>
      </w:r>
    </w:p>
    <w:p>
      <w:pPr>
        <w:spacing w:before="160" w:after="80"/>
      </w:pPr>
      <w:r>
        <w:rPr>
          <w:rFonts w:ascii="Times New Roman" w:hAnsi="Times New Roman"/>
          <w:b/>
          <w:i w:val="0"/>
          <w:color w:val="000000"/>
          <w:sz w:val="22"/>
        </w:rPr>
        <w:t>17.4 Entire Agreement.</w:t>
      </w:r>
      <w:r>
        <w:rPr>
          <w:rFonts w:ascii="Times New Roman" w:hAnsi="Times New Roman"/>
          <w:b w:val="0"/>
          <w:i w:val="0"/>
          <w:color w:val="000000"/>
          <w:sz w:val="22"/>
        </w:rPr>
        <w:t xml:space="preserve"> This Agreement constitutes the entire agreement of the Member with respect to the Company and supersedes all prior agreements, understandings, and representations, whether written or oral, with respect to the subject matter hereof.</w:t>
      </w:r>
    </w:p>
    <w:p>
      <w:pPr>
        <w:spacing w:before="160" w:after="80"/>
      </w:pPr>
      <w:r>
        <w:rPr>
          <w:rFonts w:ascii="Times New Roman" w:hAnsi="Times New Roman"/>
          <w:b/>
          <w:i w:val="0"/>
          <w:color w:val="000000"/>
          <w:sz w:val="22"/>
        </w:rPr>
        <w:t>17.5 Headings.</w:t>
      </w:r>
      <w:r>
        <w:rPr>
          <w:rFonts w:ascii="Times New Roman" w:hAnsi="Times New Roman"/>
          <w:b w:val="0"/>
          <w:i w:val="0"/>
          <w:color w:val="000000"/>
          <w:sz w:val="22"/>
        </w:rPr>
        <w:t xml:space="preserve"> Headings used in this Agreement are for convenience only and shall not affect the interpretation of any provision.</w:t>
      </w:r>
    </w:p>
    <w:p>
      <w:pPr>
        <w:spacing w:before="160" w:after="80"/>
      </w:pPr>
      <w:r>
        <w:rPr>
          <w:rFonts w:ascii="Times New Roman" w:hAnsi="Times New Roman"/>
          <w:b/>
          <w:i w:val="0"/>
          <w:color w:val="000000"/>
          <w:sz w:val="22"/>
        </w:rPr>
        <w:t>17.6 Construction.</w:t>
      </w:r>
      <w:r>
        <w:rPr>
          <w:rFonts w:ascii="Times New Roman" w:hAnsi="Times New Roman"/>
          <w:b w:val="0"/>
          <w:i w:val="0"/>
          <w:color w:val="000000"/>
          <w:sz w:val="22"/>
        </w:rPr>
        <w:t xml:space="preserve"> The use of the masculine, feminine, or neuter gender, and the singular or plural number, shall be construed to include the other genders and numbers as the context may require.</w:t>
      </w:r>
    </w:p>
    <w:p>
      <w:pPr>
        <w:spacing w:before="160" w:after="80"/>
      </w:pPr>
      <w:r>
        <w:rPr>
          <w:rFonts w:ascii="Times New Roman" w:hAnsi="Times New Roman"/>
          <w:b/>
          <w:i w:val="0"/>
          <w:color w:val="000000"/>
          <w:sz w:val="22"/>
        </w:rPr>
        <w:t>17.7 Counterparts and Electronic Signatures.</w:t>
      </w:r>
      <w:r>
        <w:rPr>
          <w:rFonts w:ascii="Times New Roman" w:hAnsi="Times New Roman"/>
          <w:b w:val="0"/>
          <w:i w:val="0"/>
          <w:color w:val="000000"/>
          <w:sz w:val="22"/>
        </w:rPr>
        <w:t xml:space="preserve"> This Agreement may be executed in counterparts, each of which shall be deemed an original, and all of which together shall constitute one and the same instrument. Signatures delivered by facsimile, electronic mail, or electronic signature platform shall be treated as original signatures for all purposes.</w:t>
      </w:r>
    </w:p>
    <w:p>
      <w:pPr>
        <w:spacing w:before="160" w:after="80"/>
      </w:pPr>
      <w:r>
        <w:rPr>
          <w:rFonts w:ascii="Times New Roman" w:hAnsi="Times New Roman"/>
          <w:b/>
          <w:i w:val="0"/>
          <w:color w:val="000000"/>
          <w:sz w:val="22"/>
        </w:rPr>
        <w:t>17.8 Binding Effect.</w:t>
      </w:r>
      <w:r>
        <w:rPr>
          <w:rFonts w:ascii="Times New Roman" w:hAnsi="Times New Roman"/>
          <w:b w:val="0"/>
          <w:i w:val="0"/>
          <w:color w:val="000000"/>
          <w:sz w:val="22"/>
        </w:rPr>
        <w:t xml:space="preserve"> This Agreement shall be binding upon, and inure to the benefit of, the Member and the Member's heirs, executors, administrators, successors, and assigns.</w:t>
      </w:r>
    </w:p>
    <w:p>
      <w:pPr>
        <w:spacing w:before="160" w:after="80"/>
      </w:pPr>
      <w:r>
        <w:rPr>
          <w:rFonts w:ascii="Times New Roman" w:hAnsi="Times New Roman"/>
          <w:b/>
          <w:i w:val="0"/>
          <w:color w:val="000000"/>
          <w:sz w:val="22"/>
        </w:rPr>
        <w:t>17.9 Waiver.</w:t>
      </w:r>
      <w:r>
        <w:rPr>
          <w:rFonts w:ascii="Times New Roman" w:hAnsi="Times New Roman"/>
          <w:b w:val="0"/>
          <w:i w:val="0"/>
          <w:color w:val="000000"/>
          <w:sz w:val="22"/>
        </w:rPr>
        <w:t xml:space="preserve"> No waiver of any provision of this Agreement shall be effective unless in writing and signed by the Member. No waiver of any breach shall constitute a waiver of any subsequent breach.</w:t>
      </w:r>
    </w:p>
    <w:p>
      <w:pPr>
        <w:spacing w:before="160" w:after="80"/>
      </w:pPr>
      <w:r>
        <w:rPr>
          <w:rFonts w:ascii="Times New Roman" w:hAnsi="Times New Roman"/>
          <w:b/>
          <w:i w:val="0"/>
          <w:color w:val="000000"/>
          <w:sz w:val="22"/>
        </w:rPr>
        <w:t>17.10 No Third-Party Beneficiaries.</w:t>
      </w:r>
      <w:r>
        <w:rPr>
          <w:rFonts w:ascii="Times New Roman" w:hAnsi="Times New Roman"/>
          <w:b w:val="0"/>
          <w:i w:val="0"/>
          <w:color w:val="000000"/>
          <w:sz w:val="22"/>
        </w:rPr>
        <w:t xml:space="preserve"> Except as expressly provided in Article XIII and Article XII, this Agreement is for the sole benefit of the Member and the Company and does not create any rights in any third party.</w:t>
      </w:r>
    </w:p>
    <w:p>
      <w:pPr>
        <w:spacing w:before="360" w:after="120"/>
        <w:jc w:val="center"/>
      </w:pPr>
      <w:r>
        <w:rPr>
          <w:rFonts w:ascii="Times New Roman" w:hAnsi="Times New Roman"/>
          <w:b/>
          <w:i w:val="0"/>
          <w:color w:val="000000"/>
          <w:sz w:val="24"/>
        </w:rPr>
        <w:t>ARTICLE XVIII. ADOPTION AND CERTIFICATION</w:t>
      </w:r>
    </w:p>
    <w:p>
      <w:pPr>
        <w:spacing w:before="160" w:after="80"/>
      </w:pPr>
      <w:r>
        <w:rPr>
          <w:rFonts w:ascii="Times New Roman" w:hAnsi="Times New Roman"/>
          <w:b/>
          <w:i w:val="0"/>
          <w:color w:val="000000"/>
          <w:sz w:val="22"/>
        </w:rPr>
        <w:t>18.1 Adoption.</w:t>
      </w:r>
      <w:r>
        <w:rPr>
          <w:rFonts w:ascii="Times New Roman" w:hAnsi="Times New Roman"/>
          <w:b w:val="0"/>
          <w:i w:val="0"/>
          <w:color w:val="000000"/>
          <w:sz w:val="22"/>
        </w:rPr>
        <w:t xml:space="preserve"> The undersigned, being the sole Member of TIgoue Theory LLC, hereby adopts this Agreement as the Operating Agreement of the Company effective as of the Effective Date set forth above.</w:t>
      </w:r>
    </w:p>
    <w:p>
      <w:pPr>
        <w:spacing w:before="160" w:after="80"/>
      </w:pPr>
      <w:r>
        <w:rPr>
          <w:rFonts w:ascii="Times New Roman" w:hAnsi="Times New Roman"/>
          <w:b/>
          <w:i w:val="0"/>
          <w:color w:val="000000"/>
          <w:sz w:val="22"/>
        </w:rPr>
        <w:t>18.2 Certification.</w:t>
      </w:r>
      <w:r>
        <w:rPr>
          <w:rFonts w:ascii="Times New Roman" w:hAnsi="Times New Roman"/>
          <w:b w:val="0"/>
          <w:i w:val="0"/>
          <w:color w:val="000000"/>
          <w:sz w:val="22"/>
        </w:rPr>
        <w:t xml:space="preserve"> The undersigned certifies that:</w:t>
      </w:r>
    </w:p>
    <w:p>
      <w:pPr>
        <w:spacing w:after="120"/>
        <w:ind w:left="720"/>
        <w:jc w:val="both"/>
      </w:pPr>
      <w:r>
        <w:rPr>
          <w:rFonts w:ascii="Times New Roman" w:hAnsi="Times New Roman"/>
          <w:b w:val="0"/>
          <w:i w:val="0"/>
          <w:color w:val="000000"/>
          <w:sz w:val="22"/>
        </w:rPr>
        <w:t>(a) The undersigned is the sole owner of one hundred percent (100%) of the Membership Interest of the Company;</w:t>
      </w:r>
    </w:p>
    <w:p>
      <w:pPr>
        <w:spacing w:after="120"/>
        <w:ind w:left="720"/>
        <w:jc w:val="both"/>
      </w:pPr>
      <w:r>
        <w:rPr>
          <w:rFonts w:ascii="Times New Roman" w:hAnsi="Times New Roman"/>
          <w:b w:val="0"/>
          <w:i w:val="0"/>
          <w:color w:val="000000"/>
          <w:sz w:val="22"/>
        </w:rPr>
        <w:t>(b) The undersigned has full legal capacity and authority to execute this Agreement;</w:t>
      </w:r>
    </w:p>
    <w:p>
      <w:pPr>
        <w:spacing w:after="120"/>
        <w:ind w:left="720"/>
        <w:jc w:val="both"/>
      </w:pPr>
      <w:r>
        <w:rPr>
          <w:rFonts w:ascii="Times New Roman" w:hAnsi="Times New Roman"/>
          <w:b w:val="0"/>
          <w:i w:val="0"/>
          <w:color w:val="000000"/>
          <w:sz w:val="22"/>
        </w:rPr>
        <w:t>(c) This Agreement is intended to govern the affairs of the Company in accordance with the Act; and</w:t>
      </w:r>
    </w:p>
    <w:p>
      <w:pPr>
        <w:spacing w:after="120"/>
        <w:ind w:left="720"/>
        <w:jc w:val="both"/>
      </w:pPr>
      <w:r>
        <w:rPr>
          <w:rFonts w:ascii="Times New Roman" w:hAnsi="Times New Roman"/>
          <w:b w:val="0"/>
          <w:i w:val="0"/>
          <w:color w:val="000000"/>
          <w:sz w:val="22"/>
        </w:rPr>
        <w:t>(d) The undersigned intends that the Company be treated as a legal entity separate and distinct from the undersigned for all non-tax purposes.</w:t>
      </w:r>
    </w:p>
    <w:p>
      <w:pPr>
        <w:spacing w:before="360" w:after="120"/>
        <w:jc w:val="center"/>
      </w:pPr>
      <w:r>
        <w:rPr>
          <w:rFonts w:ascii="Times New Roman" w:hAnsi="Times New Roman"/>
          <w:b/>
          <w:i w:val="0"/>
          <w:color w:val="000000"/>
          <w:sz w:val="24"/>
        </w:rPr>
        <w:t>SIGNATURE</w:t>
      </w:r>
    </w:p>
    <w:p>
      <w:pPr>
        <w:spacing w:after="360"/>
        <w:jc w:val="both"/>
      </w:pPr>
      <w:r>
        <w:rPr>
          <w:rFonts w:ascii="Times New Roman" w:hAnsi="Times New Roman"/>
          <w:b/>
          <w:i w:val="0"/>
          <w:color w:val="000000"/>
          <w:sz w:val="22"/>
        </w:rPr>
        <w:t xml:space="preserve">IN WITNESS WHEREOF, </w:t>
      </w:r>
      <w:r>
        <w:rPr>
          <w:rFonts w:ascii="Times New Roman" w:hAnsi="Times New Roman"/>
          <w:b w:val="0"/>
          <w:i w:val="0"/>
          <w:color w:val="000000"/>
          <w:sz w:val="22"/>
        </w:rPr>
        <w:t>the undersigned has executed this Operating Agreement as of the Effective Date set forth above.</w:t>
      </w:r>
    </w:p>
    <w:p>
      <w:pPr>
        <w:spacing w:after="240"/>
        <w:jc w:val="both"/>
      </w:pPr>
      <w:r>
        <w:rPr>
          <w:rFonts w:ascii="Times New Roman" w:hAnsi="Times New Roman"/>
          <w:b/>
          <w:i w:val="0"/>
          <w:color w:val="000000"/>
          <w:sz w:val="22"/>
        </w:rPr>
        <w:t>SOLE MEMBER:</w:t>
      </w:r>
    </w:p>
    <w:p>
      <w:pPr>
        <w:spacing w:before="360" w:after="0"/>
      </w:pPr>
      <w:r>
        <w:rPr>
          <w:rFonts w:ascii="Brush Script MT" w:hAnsi="Brush Script MT"/>
          <w:i/>
          <w:color w:val="000000"/>
          <w:sz w:val="56"/>
        </w:rPr>
        <w:t>Emmanuel Ahlonko Tigoue</w:t>
      </w:r>
    </w:p>
    <w:p>
      <w:pPr>
        <w:spacing w:after="40"/>
      </w:pPr>
      <w:r>
        <w:rPr>
          <w:rFonts w:ascii="Times New Roman" w:hAnsi="Times New Roman"/>
          <w:b w:val="0"/>
          <w:i w:val="0"/>
          <w:color w:val="000000"/>
          <w:sz w:val="22"/>
        </w:rPr>
        <w:t>__________________________________________________</w:t>
      </w:r>
    </w:p>
    <w:p>
      <w:pPr>
        <w:spacing w:after="40"/>
      </w:pPr>
      <w:r>
        <w:rPr>
          <w:rFonts w:ascii="Times New Roman" w:hAnsi="Times New Roman"/>
          <w:b/>
          <w:i w:val="0"/>
          <w:color w:val="000000"/>
          <w:sz w:val="22"/>
        </w:rPr>
        <w:t>Emmanuel Ahlonko Tigoue, Sole Member</w:t>
      </w:r>
    </w:p>
    <w:p>
      <w:pPr>
        <w:spacing w:after="240"/>
      </w:pPr>
      <w:r>
        <w:rPr>
          <w:rFonts w:ascii="Times New Roman" w:hAnsi="Times New Roman"/>
          <w:b w:val="0"/>
          <w:i w:val="0"/>
          <w:color w:val="000000"/>
          <w:sz w:val="22"/>
        </w:rPr>
        <w:t>Tigoue Theory LLC</w:t>
      </w:r>
    </w:p>
    <w:p>
      <w:pPr>
        <w:spacing w:after="360"/>
      </w:pPr>
      <w:r>
        <w:rPr>
          <w:rFonts w:ascii="Times New Roman" w:hAnsi="Times New Roman"/>
          <w:b w:val="0"/>
          <w:i w:val="0"/>
          <w:color w:val="000000"/>
          <w:sz w:val="22"/>
        </w:rPr>
        <w:t>Date: October 22, 2025</w:t>
      </w:r>
    </w:p>
    <w:p>
      <w:pPr>
        <w:spacing w:before="360" w:after="120"/>
        <w:jc w:val="center"/>
      </w:pPr>
      <w:r>
        <w:rPr>
          <w:rFonts w:ascii="Times New Roman" w:hAnsi="Times New Roman"/>
          <w:b/>
          <w:i w:val="0"/>
          <w:color w:val="000000"/>
          <w:sz w:val="24"/>
        </w:rPr>
        <w:t>EXHIBIT A. MEMBER CAPITAL CONTRIBUTION SCHEDULE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i w:val="0"/>
                <w:color w:val="000000"/>
                <w:sz w:val="22"/>
              </w:rPr>
              <w:t>Member</w:t>
            </w:r>
          </w:p>
        </w:tc>
        <w:tc>
          <w:tcPr>
            <w:tcW w:type="dxa" w:w="3120"/>
          </w:tcPr>
          <w:p>
            <w:r/>
            <w:r>
              <w:rPr>
                <w:rFonts w:ascii="Times New Roman" w:hAnsi="Times New Roman"/>
                <w:b/>
                <w:i w:val="0"/>
                <w:color w:val="000000"/>
                <w:sz w:val="22"/>
              </w:rPr>
              <w:t>Initial Capital Contribution</w:t>
            </w:r>
          </w:p>
        </w:tc>
        <w:tc>
          <w:tcPr>
            <w:tcW w:type="dxa" w:w="3120"/>
          </w:tcPr>
          <w:p>
            <w:r/>
            <w:r>
              <w:rPr>
                <w:rFonts w:ascii="Times New Roman" w:hAnsi="Times New Roman"/>
                <w:b/>
                <w:i w:val="0"/>
                <w:color w:val="000000"/>
                <w:sz w:val="22"/>
              </w:rPr>
              <w:t>Membership Interest</w:t>
            </w:r>
          </w:p>
        </w:tc>
      </w:tr>
      <w:tr>
        <w:tc>
          <w:tcPr>
            <w:tcW w:type="dxa" w:w="3120"/>
          </w:tcPr>
          <w:p>
            <w:r/>
            <w:r>
              <w:rPr>
                <w:rFonts w:ascii="Times New Roman" w:hAnsi="Times New Roman"/>
                <w:b w:val="0"/>
                <w:i w:val="0"/>
                <w:color w:val="000000"/>
                <w:sz w:val="22"/>
              </w:rPr>
              <w:t>Emmanuel Ahlonko Tigoue</w:t>
            </w:r>
          </w:p>
        </w:tc>
        <w:tc>
          <w:tcPr>
            <w:tcW w:type="dxa" w:w="3120"/>
          </w:tcPr>
          <w:p>
            <w:r/>
            <w:r>
              <w:rPr>
                <w:rFonts w:ascii="Times New Roman" w:hAnsi="Times New Roman"/>
                <w:b w:val="0"/>
                <w:i w:val="0"/>
                <w:color w:val="000000"/>
                <w:sz w:val="22"/>
              </w:rPr>
              <w:t>$1,000.00 in cash</w:t>
            </w:r>
          </w:p>
        </w:tc>
        <w:tc>
          <w:tcPr>
            <w:tcW w:type="dxa" w:w="3120"/>
          </w:tcPr>
          <w:p>
            <w:r/>
            <w:r>
              <w:rPr>
                <w:rFonts w:ascii="Times New Roman" w:hAnsi="Times New Roman"/>
                <w:b w:val="0"/>
                <w:i w:val="0"/>
                <w:color w:val="000000"/>
                <w:sz w:val="22"/>
              </w:rPr>
              <w:t>100%</w:t>
            </w:r>
          </w:p>
        </w:tc>
      </w:tr>
    </w:tbl>
    <w:p>
      <w:pPr>
        <w:spacing w:after="240"/>
      </w:pPr>
    </w:p>
    <w:p>
      <w:pPr>
        <w:spacing w:after="120"/>
        <w:jc w:val="both"/>
      </w:pPr>
      <w:r>
        <w:rPr>
          <w:rFonts w:ascii="Times New Roman" w:hAnsi="Times New Roman"/>
          <w:b/>
          <w:i w:val="0"/>
          <w:color w:val="000000"/>
          <w:sz w:val="22"/>
        </w:rPr>
        <w:t xml:space="preserve">Description of non-cash contributions: </w:t>
      </w:r>
      <w:r>
        <w:rPr>
          <w:rFonts w:ascii="Times New Roman" w:hAnsi="Times New Roman"/>
          <w:b w:val="0"/>
          <w:i w:val="0"/>
          <w:color w:val="000000"/>
          <w:sz w:val="22"/>
        </w:rPr>
        <w:t>None. Initial capital contribution consisted solely of $1,000.00 in cash.</w:t>
      </w:r>
    </w:p>
    <w:p>
      <w:pPr>
        <w:spacing w:after="360"/>
      </w:pPr>
    </w:p>
    <w:p>
      <w:pPr>
        <w:spacing w:after="120"/>
        <w:jc w:val="center"/>
      </w:pPr>
      <w:r>
        <w:rPr>
          <w:rFonts w:ascii="Times New Roman" w:hAnsi="Times New Roman"/>
          <w:b w:val="0"/>
          <w:i/>
          <w:color w:val="000000"/>
          <w:sz w:val="22"/>
        </w:rPr>
        <w:t>End of Operating Agreement of Tigoue Theory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