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EMMANUEL TIGOUE</w:t>
      </w:r>
    </w:p>
    <w:p>
      <w:pPr>
        <w:spacing w:after="120"/>
        <w:jc w:val="center"/>
      </w:pPr>
      <w:r>
        <w:rPr>
          <w:rFonts w:ascii="Calibri" w:hAnsi="Calibri"/>
          <w:sz w:val="18"/>
        </w:rPr>
        <w:t>Atlanta, GA</w:t>
      </w:r>
      <w:r>
        <w:rPr>
          <w:rFonts w:ascii="Calibri" w:hAnsi="Calibri"/>
          <w:sz w:val="18"/>
        </w:rPr>
        <w:t xml:space="preserve"> | </w:t>
      </w:r>
      <w:r>
        <w:rPr>
          <w:rFonts w:ascii="Calibri" w:hAnsi="Calibri"/>
          <w:sz w:val="18"/>
        </w:rPr>
        <w:t>(404) 839-2214</w:t>
      </w:r>
      <w:r>
        <w:rPr>
          <w:rFonts w:ascii="Calibri" w:hAnsi="Calibri"/>
          <w:sz w:val="18"/>
        </w:rPr>
        <w:t xml:space="preserve"> | </w:t>
      </w:r>
      <w:r>
        <w:rPr>
          <w:rFonts w:ascii="Calibri" w:hAnsi="Calibri"/>
          <w:sz w:val="18"/>
        </w:rPr>
        <w:t>emmanueltigoue@gmail.com</w:t>
      </w:r>
      <w:r>
        <w:rPr>
          <w:rFonts w:ascii="Calibri" w:hAnsi="Calibri"/>
          <w:sz w:val="18"/>
        </w:rPr>
        <w:t xml:space="preserve"> | </w:t>
      </w:r>
      <w:hyperlink r:id="rId9">
        <w:r>
          <w:rPr>
            <w:color w:val="0000FF"/>
            <w:u w:val="single"/>
            <w:rFonts w:ascii="Calibri" w:hAnsi="Calibri"/>
            <w:sz w:val="18"/>
            <w:szCs w:val="18"/>
          </w:rPr>
          <w:t xml:space="preserve">LinkedIn</w:t>
        </w:r>
      </w:hyperlink>
      <w:r>
        <w:rPr>
          <w:rFonts w:ascii="Calibri" w:hAnsi="Calibri"/>
          <w:sz w:val="18"/>
        </w:rPr>
        <w:t xml:space="preserve"> | </w:t>
      </w:r>
      <w:hyperlink r:id="rId10">
        <w:r>
          <w:rPr>
            <w:color w:val="0000FF"/>
            <w:u w:val="single"/>
            <w:rFonts w:ascii="Calibri" w:hAnsi="Calibri"/>
            <w:sz w:val="18"/>
            <w:szCs w:val="18"/>
          </w:rPr>
          <w:t xml:space="preserve">GitHub</w:t>
        </w:r>
      </w:hyperlink>
      <w:r>
        <w:rPr>
          <w:rFonts w:ascii="Calibri" w:hAnsi="Calibri"/>
          <w:sz w:val="18"/>
        </w:rPr>
        <w:t xml:space="preserve"> | </w:t>
      </w:r>
      <w:hyperlink r:id="rId11">
        <w:r>
          <w:rPr>
            <w:color w:val="0000FF"/>
            <w:u w:val="single"/>
            <w:rFonts w:ascii="Calibri" w:hAnsi="Calibri"/>
            <w:sz w:val="18"/>
            <w:szCs w:val="18"/>
          </w:rPr>
          <w:t xml:space="preserve">Portfolio</w:t>
        </w:r>
      </w:hyperlink>
    </w:p>
    <w:p>
      <w:pPr>
        <w:spacing w:before="160" w:after="40"/>
        <w:jc w:val="left"/>
        <w:pBdr>
          <w:bottom w:val="single" w:sz="4" w:space="1" w:color="000000"/>
        </w:pBdr>
      </w:pPr>
      <w:r>
        <w:rPr>
          <w:rFonts w:ascii="Calibri" w:hAnsi="Calibri"/>
          <w:b/>
          <w:sz w:val="22"/>
        </w:rPr>
        <w:t>CERTIFICATIONS</w:t>
      </w:r>
    </w:p>
    <w:p>
      <w:pPr>
        <w:spacing w:before="20" w:after="20"/>
      </w:pPr>
      <w:r>
        <w:rPr>
          <w:rFonts w:ascii="Calibri" w:hAnsi="Calibri"/>
          <w:sz w:val="20"/>
        </w:rPr>
        <w:t>CompTIA SecurityX (CASP+), DoD 8140 IAT/IAM III  |  ISC2 SSCP  |  Cisco CCNA  |  ISC2 CISSP (In Progress, Q2 2026)</w:t>
      </w:r>
    </w:p>
    <w:p>
      <w:pPr>
        <w:spacing w:before="160" w:after="40"/>
        <w:jc w:val="left"/>
        <w:pBdr>
          <w:bottom w:val="single" w:sz="4" w:space="1" w:color="000000"/>
        </w:pBdr>
      </w:pPr>
      <w:r>
        <w:rPr>
          <w:rFonts w:ascii="Calibri" w:hAnsi="Calibri"/>
          <w:b/>
          <w:sz w:val="22"/>
        </w:rPr>
        <w:t>EXPERIENCE</w:t>
      </w:r>
    </w:p>
    <w:p>
      <w:pPr>
        <w:spacing w:before="80" w:after="0"/>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pPr>
      <w:r>
        <w:rPr>
          <w:rFonts w:ascii="Calibri" w:hAnsi="Calibri"/>
          <w:i/>
          <w:sz w:val="18"/>
        </w:rPr>
        <w:t>Atlanta, GA  |  Sep 2025 - Present</w:t>
      </w:r>
    </w:p>
    <w:p>
      <w:pPr>
        <w:pStyle w:val="ListBullet"/>
        <w:spacing w:before="0" w:after="20"/>
      </w:pPr>
      <w:r>
        <w:rPr>
          <w:rFonts w:ascii="Calibri" w:hAnsi="Calibri"/>
          <w:sz w:val="20"/>
        </w:rPr>
        <w:t xml:space="preserve">Hardened a production AI agent gateway (OpenClaw) serving Claude Opus </w:t>
      </w:r>
      <w:r>
        <w:rPr>
          <w:rFonts w:ascii="Calibri" w:hAnsi="Calibri"/>
          <w:b/>
          <w:sz w:val="20"/>
        </w:rPr>
        <w:t>4</w:t>
      </w:r>
      <w:r>
        <w:rPr>
          <w:rFonts w:ascii="Calibri" w:hAnsi="Calibri"/>
          <w:sz w:val="20"/>
        </w:rPr>
        <w:t xml:space="preserve"> inference, implementing LLM security controls against OWASP Top </w:t>
      </w:r>
      <w:r>
        <w:rPr>
          <w:rFonts w:ascii="Calibri" w:hAnsi="Calibri"/>
          <w:b/>
          <w:sz w:val="20"/>
        </w:rPr>
        <w:t>10</w:t>
      </w:r>
      <w:r>
        <w:rPr>
          <w:rFonts w:ascii="Calibri" w:hAnsi="Calibri"/>
          <w:sz w:val="20"/>
        </w:rPr>
        <w:t xml:space="preserve"> for LLM Applications and MITRE ATLAS threat models. Blocked prompt injection, excessive agency, and system prompt leakage across </w:t>
      </w:r>
      <w:r>
        <w:rPr>
          <w:rFonts w:ascii="Calibri" w:hAnsi="Calibri"/>
          <w:b/>
          <w:sz w:val="20"/>
        </w:rPr>
        <w:t>6</w:t>
      </w:r>
      <w:r>
        <w:rPr>
          <w:rFonts w:ascii="Calibri" w:hAnsi="Calibri"/>
          <w:sz w:val="20"/>
        </w:rPr>
        <w:t xml:space="preserve"> deployed skills.</w:t>
      </w:r>
    </w:p>
    <w:p>
      <w:pPr>
        <w:pStyle w:val="ListBullet"/>
        <w:spacing w:before="0" w:after="20"/>
      </w:pPr>
      <w:r>
        <w:rPr>
          <w:rFonts w:ascii="Calibri" w:hAnsi="Calibri"/>
          <w:sz w:val="20"/>
        </w:rPr>
        <w:t>Zero publicly exposed ports. Built the entire network on Cloudflare Zero Trust tunnels with mTLS certificate authentication, routing all traffic through encrypted tunnels instead of opening firewall rules.</w:t>
      </w:r>
    </w:p>
    <w:p>
      <w:pPr>
        <w:pStyle w:val="ListBullet"/>
        <w:spacing w:before="0" w:after="20"/>
      </w:pPr>
      <w:r>
        <w:rPr>
          <w:rFonts w:ascii="Calibri" w:hAnsi="Calibri"/>
          <w:b/>
          <w:sz w:val="20"/>
        </w:rPr>
        <w:t>16</w:t>
      </w:r>
      <w:r>
        <w:rPr>
          <w:rFonts w:ascii="Calibri" w:hAnsi="Calibri"/>
          <w:sz w:val="20"/>
        </w:rPr>
        <w:t xml:space="preserve"> automated security workflows running on n</w:t>
      </w:r>
      <w:r>
        <w:rPr>
          <w:rFonts w:ascii="Calibri" w:hAnsi="Calibri"/>
          <w:b/>
          <w:sz w:val="20"/>
        </w:rPr>
        <w:t>8</w:t>
      </w:r>
      <w:r>
        <w:rPr>
          <w:rFonts w:ascii="Calibri" w:hAnsi="Calibri"/>
          <w:sz w:val="20"/>
        </w:rPr>
        <w:t xml:space="preserve">n SOAR, handling everything from threat intel enrichment to credential rotation alerts. Cut manual triage time from </w:t>
      </w:r>
      <w:r>
        <w:rPr>
          <w:rFonts w:ascii="Calibri" w:hAnsi="Calibri"/>
          <w:b/>
          <w:sz w:val="20"/>
        </w:rPr>
        <w:t>23</w:t>
      </w:r>
      <w:r>
        <w:rPr>
          <w:rFonts w:ascii="Calibri" w:hAnsi="Calibri"/>
          <w:sz w:val="20"/>
        </w:rPr>
        <w:t xml:space="preserve"> hours/week down to </w:t>
      </w:r>
      <w:r>
        <w:rPr>
          <w:rFonts w:ascii="Calibri" w:hAnsi="Calibri"/>
          <w:b/>
          <w:sz w:val="20"/>
        </w:rPr>
        <w:t>4.</w:t>
      </w:r>
    </w:p>
    <w:p>
      <w:pPr>
        <w:pStyle w:val="ListBullet"/>
        <w:spacing w:before="0" w:after="20"/>
      </w:pPr>
      <w:r>
        <w:rPr>
          <w:rFonts w:ascii="Calibri" w:hAnsi="Calibri"/>
          <w:sz w:val="20"/>
        </w:rPr>
        <w:t xml:space="preserve">Alert fatigue was killing the detection pipeline. Tuned Falco eBPF runtime rules from </w:t>
      </w:r>
      <w:r>
        <w:rPr>
          <w:rFonts w:ascii="Calibri" w:hAnsi="Calibri"/>
          <w:b/>
          <w:sz w:val="20"/>
        </w:rPr>
        <w:t>200+</w:t>
      </w:r>
      <w:r>
        <w:rPr>
          <w:rFonts w:ascii="Calibri" w:hAnsi="Calibri"/>
          <w:sz w:val="20"/>
        </w:rPr>
        <w:t xml:space="preserve"> daily alerts down to </w:t>
      </w:r>
      <w:r>
        <w:rPr>
          <w:rFonts w:ascii="Calibri" w:hAnsi="Calibri"/>
          <w:b/>
          <w:sz w:val="20"/>
        </w:rPr>
        <w:t>12</w:t>
      </w:r>
      <w:r>
        <w:rPr>
          <w:rFonts w:ascii="Calibri" w:hAnsi="Calibri"/>
          <w:sz w:val="20"/>
        </w:rPr>
        <w:t xml:space="preserve"> actionable ones, then wired Falcosidekick to push critical findings straight into Datadog dashboards.</w:t>
      </w:r>
    </w:p>
    <w:p>
      <w:pPr>
        <w:pStyle w:val="ListBullet"/>
        <w:spacing w:before="0" w:after="20"/>
      </w:pPr>
      <w:r>
        <w:rPr>
          <w:rFonts w:ascii="Calibri" w:hAnsi="Calibri"/>
          <w:sz w:val="20"/>
        </w:rPr>
        <w:t>Deployed Teleport for privileged access management with JIT access provisioning, session recording, and automatic expiration. Stood up Keycloak for RBAC across the stack. No more shared admin accounts.</w:t>
      </w:r>
    </w:p>
    <w:p>
      <w:pPr>
        <w:pStyle w:val="ListBullet"/>
        <w:spacing w:before="0" w:after="20"/>
      </w:pPr>
      <w:r>
        <w:rPr>
          <w:rFonts w:ascii="Calibri" w:hAnsi="Calibri"/>
          <w:sz w:val="20"/>
        </w:rPr>
        <w:t>Full shift-left pipeline with container security baked in. GitHub Actions runs Trivy scans, Semgrep SAST, Gitleaks secrets detection, and OPA policy checks on every PR. Cosign signs images, Syft generates SBOMs for supply chain security traceability.</w:t>
      </w:r>
    </w:p>
    <w:p>
      <w:pPr>
        <w:pStyle w:val="ListBullet"/>
        <w:spacing w:before="0" w:after="20"/>
      </w:pPr>
      <w:r>
        <w:rPr>
          <w:rFonts w:ascii="Calibri" w:hAnsi="Calibri"/>
          <w:sz w:val="20"/>
        </w:rPr>
        <w:t xml:space="preserve">Entire infrastructure defined in </w:t>
      </w:r>
      <w:r>
        <w:rPr>
          <w:rFonts w:ascii="Calibri" w:hAnsi="Calibri"/>
          <w:b/>
          <w:sz w:val="20"/>
        </w:rPr>
        <w:t>16</w:t>
      </w:r>
      <w:r>
        <w:rPr>
          <w:rFonts w:ascii="Calibri" w:hAnsi="Calibri"/>
          <w:sz w:val="20"/>
        </w:rPr>
        <w:t xml:space="preserve"> Terraform files managing </w:t>
      </w:r>
      <w:r>
        <w:rPr>
          <w:rFonts w:ascii="Calibri" w:hAnsi="Calibri"/>
          <w:b/>
          <w:sz w:val="20"/>
        </w:rPr>
        <w:t>30+</w:t>
      </w:r>
      <w:r>
        <w:rPr>
          <w:rFonts w:ascii="Calibri" w:hAnsi="Calibri"/>
          <w:sz w:val="20"/>
        </w:rPr>
        <w:t xml:space="preserve"> resources across DigitalOcean and Cloudflare. Wrote </w:t>
      </w:r>
      <w:r>
        <w:rPr>
          <w:rFonts w:ascii="Calibri" w:hAnsi="Calibri"/>
          <w:b/>
          <w:sz w:val="20"/>
        </w:rPr>
        <w:t>8</w:t>
      </w:r>
      <w:r>
        <w:rPr>
          <w:rFonts w:ascii="Calibri" w:hAnsi="Calibri"/>
          <w:sz w:val="20"/>
        </w:rPr>
        <w:t xml:space="preserve"> OPA/Rego policies that block non-compliant changes before they hit production.</w:t>
      </w:r>
    </w:p>
    <w:p>
      <w:pPr>
        <w:pStyle w:val="ListBullet"/>
        <w:spacing w:before="0" w:after="20"/>
      </w:pPr>
      <w:r>
        <w:rPr>
          <w:rFonts w:ascii="Calibri" w:hAnsi="Calibri"/>
          <w:sz w:val="20"/>
        </w:rPr>
        <w:t xml:space="preserve">Authored </w:t>
      </w:r>
      <w:r>
        <w:rPr>
          <w:rFonts w:ascii="Calibri" w:hAnsi="Calibri"/>
          <w:b/>
          <w:sz w:val="20"/>
        </w:rPr>
        <w:t>31</w:t>
      </w:r>
      <w:r>
        <w:rPr>
          <w:rFonts w:ascii="Calibri" w:hAnsi="Calibri"/>
          <w:sz w:val="20"/>
        </w:rPr>
        <w:t xml:space="preserve"> GRC documents from scratch: SSP with NIST </w:t>
      </w:r>
      <w:r>
        <w:rPr>
          <w:rFonts w:ascii="Calibri" w:hAnsi="Calibri"/>
          <w:b/>
          <w:sz w:val="20"/>
        </w:rPr>
        <w:t>800</w:t>
      </w:r>
      <w:r>
        <w:rPr>
          <w:rFonts w:ascii="Calibri" w:hAnsi="Calibri"/>
          <w:sz w:val="20"/>
        </w:rPr>
        <w:t>-</w:t>
      </w:r>
      <w:r>
        <w:rPr>
          <w:rFonts w:ascii="Calibri" w:hAnsi="Calibri"/>
          <w:b/>
          <w:sz w:val="20"/>
        </w:rPr>
        <w:t>53</w:t>
      </w:r>
      <w:r>
        <w:rPr>
          <w:rFonts w:ascii="Calibri" w:hAnsi="Calibri"/>
          <w:sz w:val="20"/>
        </w:rPr>
        <w:t xml:space="preserve"> control mapping, POA&amp;M tracking </w:t>
      </w:r>
      <w:r>
        <w:rPr>
          <w:rFonts w:ascii="Calibri" w:hAnsi="Calibri"/>
          <w:b/>
          <w:sz w:val="20"/>
        </w:rPr>
        <w:t>47</w:t>
      </w:r>
      <w:r>
        <w:rPr>
          <w:rFonts w:ascii="Calibri" w:hAnsi="Calibri"/>
          <w:sz w:val="20"/>
        </w:rPr>
        <w:t xml:space="preserve"> findings, </w:t>
      </w:r>
      <w:r>
        <w:rPr>
          <w:rFonts w:ascii="Calibri" w:hAnsi="Calibri"/>
          <w:b/>
          <w:sz w:val="20"/>
        </w:rPr>
        <w:t>10</w:t>
      </w:r>
      <w:r>
        <w:rPr>
          <w:rFonts w:ascii="Calibri" w:hAnsi="Calibri"/>
          <w:sz w:val="20"/>
        </w:rPr>
        <w:t xml:space="preserve"> security policies, </w:t>
      </w:r>
      <w:r>
        <w:rPr>
          <w:rFonts w:ascii="Calibri" w:hAnsi="Calibri"/>
          <w:b/>
          <w:sz w:val="20"/>
        </w:rPr>
        <w:t>4</w:t>
      </w:r>
      <w:r>
        <w:rPr>
          <w:rFonts w:ascii="Calibri" w:hAnsi="Calibri"/>
          <w:sz w:val="20"/>
        </w:rPr>
        <w:t xml:space="preserve"> IR playbooks, risk assessment, and a tabletop exercise. Not templated. Every document references actual infrastructure evidence.</w:t>
      </w:r>
    </w:p>
    <w:p>
      <w:pPr>
        <w:spacing w:before="80" w:after="0"/>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pPr>
      <w:r>
        <w:rPr>
          <w:rFonts w:ascii="Calibri" w:hAnsi="Calibri"/>
          <w:i/>
          <w:sz w:val="18"/>
        </w:rPr>
        <w:t>Fairburn, GA  |  Mar 2022 - Feb 2026</w:t>
      </w:r>
    </w:p>
    <w:p>
      <w:pPr>
        <w:pStyle w:val="ListBullet"/>
        <w:spacing w:before="0" w:after="20"/>
      </w:pPr>
      <w:r>
        <w:rPr>
          <w:rFonts w:ascii="Calibri" w:hAnsi="Calibri"/>
          <w:sz w:val="20"/>
        </w:rPr>
        <w:t xml:space="preserve">Managed endpoint security and vulnerability management across </w:t>
      </w:r>
      <w:r>
        <w:rPr>
          <w:rFonts w:ascii="Calibri" w:hAnsi="Calibri"/>
          <w:b/>
          <w:sz w:val="20"/>
        </w:rPr>
        <w:t>45+</w:t>
      </w:r>
      <w:r>
        <w:rPr>
          <w:rFonts w:ascii="Calibri" w:hAnsi="Calibri"/>
          <w:sz w:val="20"/>
        </w:rPr>
        <w:t xml:space="preserve"> devices with CrowdStrike Falcon, handling detection tuning, policy enforcement, and quarterly threat assessments for a multi-site retail operation.</w:t>
      </w:r>
    </w:p>
    <w:p>
      <w:pPr>
        <w:pStyle w:val="ListBullet"/>
        <w:spacing w:before="0" w:after="20"/>
      </w:pPr>
      <w:r>
        <w:rPr>
          <w:rFonts w:ascii="Calibri" w:hAnsi="Calibri"/>
          <w:sz w:val="20"/>
        </w:rPr>
        <w:t xml:space="preserve">Inherited a flat network with zero segmentation. Split it into </w:t>
      </w:r>
      <w:r>
        <w:rPr>
          <w:rFonts w:ascii="Calibri" w:hAnsi="Calibri"/>
          <w:b/>
          <w:sz w:val="20"/>
        </w:rPr>
        <w:t>4</w:t>
      </w:r>
      <w:r>
        <w:rPr>
          <w:rFonts w:ascii="Calibri" w:hAnsi="Calibri"/>
          <w:sz w:val="20"/>
        </w:rPr>
        <w:t xml:space="preserve"> VLANs isolating POS payment traffic, back-office systems, guest WiFi, and management. Lateral movement dropped to near zero.</w:t>
      </w:r>
    </w:p>
    <w:p>
      <w:pPr>
        <w:pStyle w:val="ListBullet"/>
        <w:spacing w:before="0" w:after="20"/>
      </w:pPr>
      <w:r>
        <w:rPr>
          <w:rFonts w:ascii="Calibri" w:hAnsi="Calibri"/>
          <w:sz w:val="20"/>
        </w:rPr>
        <w:t xml:space="preserve">Cut mean time to detect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 xml:space="preserve"> by deploying Splunk log aggregation across all endpoints and network devices. Set up correlation rules that caught </w:t>
      </w:r>
      <w:r>
        <w:rPr>
          <w:rFonts w:ascii="Calibri" w:hAnsi="Calibri"/>
          <w:b/>
          <w:sz w:val="20"/>
        </w:rPr>
        <w:t>3</w:t>
      </w:r>
      <w:r>
        <w:rPr>
          <w:rFonts w:ascii="Calibri" w:hAnsi="Calibri"/>
          <w:sz w:val="20"/>
        </w:rPr>
        <w:t xml:space="preserve"> credential stuffing attempts in the first month.</w:t>
      </w:r>
    </w:p>
    <w:p>
      <w:pPr>
        <w:pStyle w:val="ListBullet"/>
        <w:spacing w:before="0" w:after="20"/>
      </w:pPr>
      <w:r>
        <w:rPr>
          <w:rFonts w:ascii="Calibri" w:hAnsi="Calibri"/>
          <w:sz w:val="20"/>
        </w:rPr>
        <w:t xml:space="preserve">AD was a mess when I took over. Enforced Group Policy baselines, killed stale accounts, locked down admin rights, and set up automated credential rotation. Audit findings went from </w:t>
      </w:r>
      <w:r>
        <w:rPr>
          <w:rFonts w:ascii="Calibri" w:hAnsi="Calibri"/>
          <w:b/>
          <w:sz w:val="20"/>
        </w:rPr>
        <w:t>14</w:t>
      </w:r>
      <w:r>
        <w:rPr>
          <w:rFonts w:ascii="Calibri" w:hAnsi="Calibri"/>
          <w:sz w:val="20"/>
        </w:rPr>
        <w:t xml:space="preserve"> to </w:t>
      </w:r>
      <w:r>
        <w:rPr>
          <w:rFonts w:ascii="Calibri" w:hAnsi="Calibri"/>
          <w:b/>
          <w:sz w:val="20"/>
        </w:rPr>
        <w:t>2.</w:t>
      </w:r>
    </w:p>
    <w:p>
      <w:pPr>
        <w:pStyle w:val="ListBullet"/>
        <w:spacing w:before="0" w:after="20"/>
      </w:pPr>
      <w:r>
        <w:rPr>
          <w:rFonts w:ascii="Calibri" w:hAnsi="Calibri"/>
          <w:sz w:val="20"/>
        </w:rPr>
        <w:t xml:space="preserve">Ran incident response for everything from ransomware scares to POS skimmer investigations. Built a </w:t>
      </w:r>
      <w:r>
        <w:rPr>
          <w:rFonts w:ascii="Calibri" w:hAnsi="Calibri"/>
          <w:b/>
          <w:sz w:val="20"/>
        </w:rPr>
        <w:t>6</w:t>
      </w:r>
      <w:r>
        <w:rPr>
          <w:rFonts w:ascii="Calibri" w:hAnsi="Calibri"/>
          <w:sz w:val="20"/>
        </w:rPr>
        <w:t xml:space="preserve">-step IR runbook that cut average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pPr>
        <w:pStyle w:val="ListBullet"/>
        <w:spacing w:before="0" w:after="20"/>
      </w:pPr>
      <w:r>
        <w:rPr>
          <w:rFonts w:ascii="Calibri" w:hAnsi="Calibri"/>
          <w:sz w:val="20"/>
        </w:rPr>
        <w:t xml:space="preserve">Wrote PowerShell scripts automating patch deployment, user provisioning, and compliance reporting. Saved roughly </w:t>
      </w:r>
      <w:r>
        <w:rPr>
          <w:rFonts w:ascii="Calibri" w:hAnsi="Calibri"/>
          <w:b/>
          <w:sz w:val="20"/>
        </w:rPr>
        <w:t>12</w:t>
      </w:r>
      <w:r>
        <w:rPr>
          <w:rFonts w:ascii="Calibri" w:hAnsi="Calibri"/>
          <w:sz w:val="20"/>
        </w:rPr>
        <w:t xml:space="preserve"> hours/week on what used to be manual checkbox work.</w:t>
      </w:r>
    </w:p>
    <w:p>
      <w:pPr>
        <w:pStyle w:val="ListBullet"/>
        <w:spacing w:before="0" w:after="20"/>
      </w:pPr>
      <w:r>
        <w:rPr>
          <w:rFonts w:ascii="Calibri" w:hAnsi="Calibri"/>
          <w:sz w:val="20"/>
        </w:rPr>
        <w:t xml:space="preserve">Sole IT person for </w:t>
      </w:r>
      <w:r>
        <w:rPr>
          <w:rFonts w:ascii="Calibri" w:hAnsi="Calibri"/>
          <w:b/>
          <w:sz w:val="20"/>
        </w:rPr>
        <w:t>3</w:t>
      </w:r>
      <w:r>
        <w:rPr>
          <w:rFonts w:ascii="Calibri" w:hAnsi="Calibri"/>
          <w:sz w:val="20"/>
        </w:rPr>
        <w:t xml:space="preserve"> locations. Managed vendor relationships, negotiated service contracts, handled the security budget, and kept everything running on a shoestring.</w:t>
      </w:r>
    </w:p>
    <w:p>
      <w:pPr>
        <w:spacing w:before="80" w:after="0"/>
      </w:pPr>
      <w:r>
        <w:rPr>
          <w:rFonts w:ascii="Calibri" w:hAnsi="Calibri"/>
          <w:b/>
          <w:sz w:val="20"/>
        </w:rPr>
        <w:t>IT Operations Manager</w:t>
      </w:r>
      <w:r>
        <w:rPr>
          <w:rFonts w:ascii="Calibri" w:hAnsi="Calibri"/>
          <w:sz w:val="20"/>
        </w:rPr>
        <w:t xml:space="preserve">  |  </w:t>
      </w:r>
      <w:r>
        <w:rPr>
          <w:rFonts w:ascii="Calibri" w:hAnsi="Calibri"/>
          <w:sz w:val="20"/>
        </w:rPr>
        <w:t>Consumer Distribution Services</w:t>
      </w:r>
    </w:p>
    <w:p>
      <w:pPr>
        <w:spacing w:before="0" w:after="40"/>
      </w:pPr>
      <w:r>
        <w:rPr>
          <w:rFonts w:ascii="Calibri" w:hAnsi="Calibri"/>
          <w:i/>
          <w:sz w:val="18"/>
        </w:rPr>
        <w:t>Atlanta, GA  |  Jan 2020 - Feb 2022</w:t>
      </w:r>
    </w:p>
    <w:p>
      <w:pPr>
        <w:pStyle w:val="ListBullet"/>
        <w:spacing w:before="0" w:after="20"/>
      </w:pPr>
      <w:r>
        <w:rPr>
          <w:rFonts w:ascii="Calibri" w:hAnsi="Calibri"/>
          <w:sz w:val="20"/>
        </w:rPr>
        <w:t xml:space="preserve">Managed IT operations for a regional distribution company, overseeing network infrastructure, endpoint deployments, and help desk escalations across </w:t>
      </w:r>
      <w:r>
        <w:rPr>
          <w:rFonts w:ascii="Calibri" w:hAnsi="Calibri"/>
          <w:b/>
          <w:sz w:val="20"/>
        </w:rPr>
        <w:t>2</w:t>
      </w:r>
      <w:r>
        <w:rPr>
          <w:rFonts w:ascii="Calibri" w:hAnsi="Calibri"/>
          <w:sz w:val="20"/>
        </w:rPr>
        <w:t xml:space="preserve"> warehouse locations.</w:t>
      </w:r>
    </w:p>
    <w:p>
      <w:pPr>
        <w:pStyle w:val="ListBullet"/>
        <w:spacing w:before="0" w:after="20"/>
      </w:pPr>
      <w:r>
        <w:rPr>
          <w:rFonts w:ascii="Calibri" w:hAnsi="Calibri"/>
          <w:sz w:val="20"/>
        </w:rPr>
        <w:t xml:space="preserve">Resolved </w:t>
      </w:r>
      <w:r>
        <w:rPr>
          <w:rFonts w:ascii="Calibri" w:hAnsi="Calibri"/>
          <w:b/>
          <w:sz w:val="20"/>
        </w:rPr>
        <w:t>150+</w:t>
      </w:r>
      <w:r>
        <w:rPr>
          <w:rFonts w:ascii="Calibri" w:hAnsi="Calibri"/>
          <w:sz w:val="20"/>
        </w:rPr>
        <w:t xml:space="preserve"> IT incidents over </w:t>
      </w:r>
      <w:r>
        <w:rPr>
          <w:rFonts w:ascii="Calibri" w:hAnsi="Calibri"/>
          <w:b/>
          <w:sz w:val="20"/>
        </w:rPr>
        <w:t>2</w:t>
      </w:r>
      <w:r>
        <w:rPr>
          <w:rFonts w:ascii="Calibri" w:hAnsi="Calibri"/>
          <w:sz w:val="20"/>
        </w:rPr>
        <w:t xml:space="preserve"> years, maintaining a </w:t>
      </w:r>
      <w:r>
        <w:rPr>
          <w:rFonts w:ascii="Calibri" w:hAnsi="Calibri"/>
          <w:b/>
          <w:sz w:val="20"/>
        </w:rPr>
        <w:t>97%</w:t>
      </w:r>
      <w:r>
        <w:rPr>
          <w:rFonts w:ascii="Calibri" w:hAnsi="Calibri"/>
          <w:sz w:val="20"/>
        </w:rPr>
        <w:t xml:space="preserve"> first-contact resolution rate by building a knowledge base that the whole team actually used.</w:t>
      </w:r>
    </w:p>
    <w:p>
      <w:pPr>
        <w:pStyle w:val="ListBullet"/>
        <w:spacing w:before="0" w:after="20"/>
      </w:pPr>
      <w:r>
        <w:rPr>
          <w:rFonts w:ascii="Calibri" w:hAnsi="Calibri"/>
          <w:sz w:val="20"/>
        </w:rPr>
        <w:t>Nobody had documentation when I started. Created SOPs for onboarding, equipment provisioning, and incident escalation that survived after I left.</w:t>
      </w:r>
    </w:p>
    <w:p>
      <w:pPr>
        <w:pStyle w:val="ListBullet"/>
        <w:spacing w:before="0" w:after="20"/>
      </w:pPr>
      <w:r>
        <w:rPr>
          <w:rFonts w:ascii="Calibri" w:hAnsi="Calibri"/>
          <w:sz w:val="20"/>
        </w:rPr>
        <w:t>First person to enforce basic security hygiene: MFA on admin accounts, automated patching schedule, and password policy enforcement across all endpoints.</w:t>
      </w:r>
    </w:p>
    <w:p>
      <w:pPr>
        <w:spacing w:before="160" w:after="40"/>
        <w:jc w:val="left"/>
        <w:pBdr>
          <w:bottom w:val="single" w:sz="4" w:space="1" w:color="000000"/>
        </w:pBdr>
      </w:pPr>
      <w:r>
        <w:rPr>
          <w:rFonts w:ascii="Calibri" w:hAnsi="Calibri"/>
          <w:b/>
          <w:sz w:val="22"/>
        </w:rPr>
        <w:t>TECHNICAL SKILLS</w:t>
      </w:r>
    </w:p>
    <w:p>
      <w:pPr>
        <w:spacing w:before="20" w:after="20"/>
      </w:pPr>
      <w:r>
        <w:rPr>
          <w:rFonts w:ascii="Calibri" w:hAnsi="Calibri"/>
          <w:b/>
          <w:sz w:val="20"/>
        </w:rPr>
        <w:t xml:space="preserve">Security &amp; AI Operations: </w:t>
      </w:r>
      <w:r>
        <w:rPr>
          <w:rFonts w:ascii="Calibri" w:hAnsi="Calibri"/>
          <w:sz w:val="20"/>
        </w:rPr>
        <w:t>OWASP Top 10 LLM (production gateway hardening), MITRE ATLAS (AI threat modeling), adversarial ML/data poisoning defense, RAG security, Falco eBPF (runtime detection), CrowdStrike Falcon (endpoint), Splunk/Datadog (SIEM/observability), n8n (SOAR automation, 16 workflows), prompt injection defense, AI red teaming</w:t>
      </w:r>
    </w:p>
    <w:p>
      <w:pPr>
        <w:spacing w:before="20" w:after="20"/>
      </w:pPr>
      <w:r>
        <w:rPr>
          <w:rFonts w:ascii="Calibri" w:hAnsi="Calibri"/>
          <w:b/>
          <w:sz w:val="20"/>
        </w:rPr>
        <w:t xml:space="preserve">Cloud &amp; Infrastructure: </w:t>
      </w:r>
      <w:r>
        <w:rPr>
          <w:rFonts w:ascii="Calibri" w:hAnsi="Calibri"/>
          <w:sz w:val="20"/>
        </w:rPr>
        <w:t>Terraform (16-file IaC, 30+ resources), Docker/Compose (14 production containers), Cloudflare Zero Trust (tunnel routing, mTLS), DigitalOcean, Linux (Ubuntu 24.04 production), Vault (secrets management), Keycloak (RBAC/SSO)</w:t>
      </w:r>
    </w:p>
    <w:p>
      <w:pPr>
        <w:spacing w:before="20" w:after="20"/>
      </w:pPr>
      <w:r>
        <w:rPr>
          <w:rFonts w:ascii="Calibri" w:hAnsi="Calibri"/>
          <w:b/>
          <w:sz w:val="20"/>
        </w:rPr>
        <w:t xml:space="preserve">DevSecOps &amp; Identity: </w:t>
      </w:r>
      <w:r>
        <w:rPr>
          <w:rFonts w:ascii="Calibri" w:hAnsi="Calibri"/>
          <w:sz w:val="20"/>
        </w:rPr>
        <w:t>GitHub Actions CI/CD, Trivy (container scanning), Semgrep (SAST), Gitleaks (secrets detection), OPA/Rego (policy as code, 8 policies), Cosign (image signing), SBOM generation, API security testing, penetration testing, Teleport (PAM/JIT access), Active Directory (GPO hardening)</w:t>
      </w:r>
    </w:p>
    <w:p>
      <w:pPr>
        <w:spacing w:before="20" w:after="20"/>
      </w:pPr>
      <w:r>
        <w:rPr>
          <w:rFonts w:ascii="Calibri" w:hAnsi="Calibri"/>
          <w:b/>
          <w:sz w:val="20"/>
        </w:rPr>
        <w:t xml:space="preserve">Compliance &amp; Languages: </w:t>
      </w:r>
      <w:r>
        <w:rPr>
          <w:rFonts w:ascii="Calibri" w:hAnsi="Calibri"/>
          <w:sz w:val="20"/>
        </w:rPr>
        <w:t>NIST 800-53 (SSP with control mapping), NIST AI RMF, ISO 42001 (AI governance), EU AI Act compliance mapping, SOC 2 readiness, GRC documentation (31 artifacts), Python, PowerShell, Bash, HCL</w:t>
      </w:r>
    </w:p>
    <w:p>
      <w:pPr>
        <w:spacing w:before="160" w:after="40"/>
        <w:jc w:val="left"/>
        <w:pBdr>
          <w:bottom w:val="single" w:sz="4" w:space="1" w:color="000000"/>
        </w:pBdr>
      </w:pPr>
      <w:r>
        <w:rPr>
          <w:rFonts w:ascii="Calibri" w:hAnsi="Calibri"/>
          <w:b/>
          <w:sz w:val="22"/>
        </w:rPr>
        <w:t>EDUCATION</w:t>
      </w:r>
    </w:p>
    <w:p>
      <w:pPr>
        <w:spacing w:before="80" w:after="0"/>
      </w:pPr>
      <w:r>
        <w:rPr>
          <w:rFonts w:ascii="Calibri" w:hAnsi="Calibri"/>
          <w:b/>
          <w:sz w:val="20"/>
        </w:rPr>
        <w:t>Georgia State University, J. Mack Robinson College of Business</w:t>
      </w:r>
    </w:p>
    <w:p>
      <w:pPr>
        <w:spacing w:before="0" w:after="0"/>
      </w:pPr>
      <w:r>
        <w:rPr>
          <w:rFonts w:ascii="Calibri" w:hAnsi="Calibri"/>
          <w:sz w:val="20"/>
        </w:rPr>
        <w:t>BBA in Computer Information Systems (Cybersecurity)  |  BBA in Business Economics</w:t>
      </w:r>
    </w:p>
    <w:p>
      <w:pPr>
        <w:spacing w:before="0" w:after="20"/>
      </w:pPr>
      <w:r>
        <w:rPr>
          <w:rFonts w:ascii="Calibri" w:hAnsi="Calibri"/>
          <w:i/>
          <w:sz w:val="18"/>
        </w:rPr>
        <w:t>Expected May 2026  |  GPA: 3.7  |  Dean's List</w:t>
      </w:r>
    </w:p>
    <w:sectPr w:rsidR="00FC693F" w:rsidRPr="0006063C" w:rsidSect="00034616">
      <w:pgSz w:w="12240" w:h="15840"/>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emmanuel-tigoue-672378307" TargetMode="External"/><Relationship Id="rId10" Type="http://schemas.openxmlformats.org/officeDocument/2006/relationships/hyperlink" Target="https://github.com/ET-sec" TargetMode="External"/><Relationship Id="rId11"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