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7D9B3" w14:textId="77777777" w:rsidR="000C6893" w:rsidRPr="00B92BD8" w:rsidRDefault="000C6893" w:rsidP="000C689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4. Europe de l’Ouest (Belgique, Allemagne, Pays-Bas)</w:t>
      </w:r>
    </w:p>
    <w:p w14:paraId="1A77B173" w14:textId="77777777" w:rsidR="000C6893" w:rsidRPr="00B92BD8" w:rsidRDefault="000C6893" w:rsidP="000C689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Analyse 2024</w:t>
      </w:r>
    </w:p>
    <w:p w14:paraId="7CDF4158" w14:textId="77777777" w:rsidR="000C6893" w:rsidRPr="00B92BD8" w:rsidRDefault="000C6893" w:rsidP="000C689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 Totales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407 990,9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(Pic en Q3 : +12 % vs Q1).</w:t>
      </w:r>
    </w:p>
    <w:p w14:paraId="1BDAD27E" w14:textId="77777777" w:rsidR="000C6893" w:rsidRPr="00B92BD8" w:rsidRDefault="000C6893" w:rsidP="000C689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 Totaux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226 053,9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(Variabilité mensuelle : +/- 10 %).</w:t>
      </w:r>
    </w:p>
    <w:p w14:paraId="34C9F9A0" w14:textId="77777777" w:rsidR="000C6893" w:rsidRPr="00B92BD8" w:rsidRDefault="000C6893" w:rsidP="000C689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44,6 %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(Stable sauf en décembre : 38 %).</w:t>
      </w:r>
    </w:p>
    <w:p w14:paraId="437A3E66" w14:textId="77777777" w:rsidR="000C6893" w:rsidRPr="00B92BD8" w:rsidRDefault="000C6893" w:rsidP="000C689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Objectifs 2025</w:t>
      </w:r>
    </w:p>
    <w:p w14:paraId="43B8AFA3" w14:textId="77777777" w:rsidR="000C6893" w:rsidRPr="00B92BD8" w:rsidRDefault="000C6893" w:rsidP="000C689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Ventes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+5 %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428 390,4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1F36DF3A" w14:textId="77777777" w:rsidR="000C6893" w:rsidRPr="00B92BD8" w:rsidRDefault="000C6893" w:rsidP="000C689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Coûts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+2 %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→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230 575,0 k€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.</w:t>
      </w:r>
    </w:p>
    <w:p w14:paraId="171E73D6" w14:textId="77777777" w:rsidR="000C6893" w:rsidRPr="00B92BD8" w:rsidRDefault="000C6893" w:rsidP="000C689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Marge Nette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: </w:t>
      </w: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46 %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(+1,4 point).</w:t>
      </w:r>
    </w:p>
    <w:p w14:paraId="064EA253" w14:textId="77777777" w:rsidR="000C6893" w:rsidRPr="00B92BD8" w:rsidRDefault="000C6893" w:rsidP="000C689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Recommandations</w:t>
      </w:r>
    </w:p>
    <w:p w14:paraId="11B60BDE" w14:textId="77777777" w:rsidR="000C6893" w:rsidRPr="00B92BD8" w:rsidRDefault="000C6893" w:rsidP="000C689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Lancer des campagnes Q1/Q2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stimuler la demande hors pic.</w:t>
      </w:r>
    </w:p>
    <w:p w14:paraId="0FF20297" w14:textId="77777777" w:rsidR="000C6893" w:rsidRPr="00B92BD8" w:rsidRDefault="000C6893" w:rsidP="000C689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Centraliser les achats de pièces détachées</w:t>
      </w:r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réduire les coûts de 4 %.</w:t>
      </w:r>
    </w:p>
    <w:p w14:paraId="525A2482" w14:textId="77777777" w:rsidR="000C6893" w:rsidRPr="00B92BD8" w:rsidRDefault="000C6893" w:rsidP="000C689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</w:pPr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Former les conducteurs à l’</w:t>
      </w:r>
      <w:proofErr w:type="spellStart"/>
      <w:r w:rsidRPr="00B92BD8">
        <w:rPr>
          <w:rFonts w:ascii="Segoe UI" w:eastAsia="Times New Roman" w:hAnsi="Segoe UI" w:cs="Segoe UI"/>
          <w:b/>
          <w:bCs/>
          <w:color w:val="404040"/>
          <w:kern w:val="0"/>
          <w:lang w:eastAsia="fr-FR"/>
          <w14:ligatures w14:val="none"/>
        </w:rPr>
        <w:t>éco-conduite</w:t>
      </w:r>
      <w:proofErr w:type="spellEnd"/>
      <w:r w:rsidRPr="00B92BD8">
        <w:rPr>
          <w:rFonts w:ascii="Segoe UI" w:eastAsia="Times New Roman" w:hAnsi="Segoe UI" w:cs="Segoe UI"/>
          <w:color w:val="404040"/>
          <w:kern w:val="0"/>
          <w:lang w:eastAsia="fr-FR"/>
          <w14:ligatures w14:val="none"/>
        </w:rPr>
        <w:t> pour diminuer la consommation de carburant (-3 %).</w:t>
      </w:r>
    </w:p>
    <w:p w14:paraId="2C5370B8" w14:textId="77777777" w:rsidR="006F6B17" w:rsidRPr="000C6893" w:rsidRDefault="006F6B17" w:rsidP="000C6893"/>
    <w:sectPr w:rsidR="006F6B17" w:rsidRPr="000C6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C2570"/>
    <w:multiLevelType w:val="multilevel"/>
    <w:tmpl w:val="091E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50B67"/>
    <w:multiLevelType w:val="multilevel"/>
    <w:tmpl w:val="478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60BB6"/>
    <w:multiLevelType w:val="multilevel"/>
    <w:tmpl w:val="0438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4"/>
  </w:num>
  <w:num w:numId="2" w16cid:durableId="449203293">
    <w:abstractNumId w:val="12"/>
  </w:num>
  <w:num w:numId="3" w16cid:durableId="2050689972">
    <w:abstractNumId w:val="9"/>
  </w:num>
  <w:num w:numId="4" w16cid:durableId="1428816343">
    <w:abstractNumId w:val="4"/>
  </w:num>
  <w:num w:numId="5" w16cid:durableId="1101800869">
    <w:abstractNumId w:val="5"/>
  </w:num>
  <w:num w:numId="6" w16cid:durableId="103161959">
    <w:abstractNumId w:val="11"/>
  </w:num>
  <w:num w:numId="7" w16cid:durableId="678584912">
    <w:abstractNumId w:val="10"/>
  </w:num>
  <w:num w:numId="8" w16cid:durableId="665400520">
    <w:abstractNumId w:val="13"/>
  </w:num>
  <w:num w:numId="9" w16cid:durableId="125396374">
    <w:abstractNumId w:val="0"/>
  </w:num>
  <w:num w:numId="10" w16cid:durableId="1374890217">
    <w:abstractNumId w:val="3"/>
  </w:num>
  <w:num w:numId="11" w16cid:durableId="1404330949">
    <w:abstractNumId w:val="6"/>
  </w:num>
  <w:num w:numId="12" w16cid:durableId="2981180">
    <w:abstractNumId w:val="1"/>
  </w:num>
  <w:num w:numId="13" w16cid:durableId="1542353685">
    <w:abstractNumId w:val="2"/>
  </w:num>
  <w:num w:numId="14" w16cid:durableId="727341740">
    <w:abstractNumId w:val="8"/>
  </w:num>
  <w:num w:numId="15" w16cid:durableId="1002397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5"/>
    <w:rsid w:val="00040D42"/>
    <w:rsid w:val="000C6893"/>
    <w:rsid w:val="00421B9B"/>
    <w:rsid w:val="006F6B17"/>
    <w:rsid w:val="00B6764F"/>
    <w:rsid w:val="00BA6025"/>
    <w:rsid w:val="00C47AD2"/>
    <w:rsid w:val="00CC3DF6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C421"/>
  <w15:chartTrackingRefBased/>
  <w15:docId w15:val="{00A70913-78EE-477F-8B30-E458F165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0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0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0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0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0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0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0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0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0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0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3</cp:revision>
  <dcterms:created xsi:type="dcterms:W3CDTF">2024-12-09T09:17:00Z</dcterms:created>
  <dcterms:modified xsi:type="dcterms:W3CDTF">2025-02-28T09:58:00Z</dcterms:modified>
</cp:coreProperties>
</file>