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生产岗位培训与工序交接</w:t>
        <w:br/>
        <w:t>业务分析与 AI 应用方案</w:t>
      </w:r>
    </w:p>
    <w:p>
      <w:pPr>
        <w:pStyle w:val="Subtitle"/>
      </w:pPr>
      <w:r>
        <w:t>传统人工流程 BPMN 与业务规则说明</w:t>
      </w:r>
    </w:p>
    <w:p>
      <w:r>
        <w:t>版本 1.0    2026 年 10 月 13 日    供业务与质量团队评审</w:t>
      </w:r>
    </w:p>
    <w:p>
      <w:pPr>
        <w:pStyle w:val="Heading1"/>
      </w:pPr>
      <w:r>
        <w:t>分析结论</w:t>
      </w:r>
    </w:p>
    <w:p>
      <w:r>
        <w:t>优先解决每次交接使用什么依据、谁确认、异常由谁继续处理三个问题。AI 适合把分散资料整理成带来源的差异与缺项清单，帮助人员减少查找和重复核对；适用版本、培训覆盖、责任接受及正式复核结论仍由授权人员确认。</w:t>
      </w:r>
    </w:p>
    <w:p>
      <w:r>
        <w:t>首期建议采用一个批次的只读辅助试点。人在现有台账与审批渠道完成业务动作，辅助工具读取脱敏资料，生成可追溯建议，再读取人工确认结果形成证据链。未经新增授权，不写回源系统、不发送外部消息、不执行生产动作。</w:t>
      </w:r>
    </w:p>
    <w:p>
      <w:pPr>
        <w:pStyle w:val="Heading1"/>
      </w:pPr>
      <w:r>
        <w:t>范围与证据等级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440"/>
        <w:gridCol w:w="3384"/>
        <w:gridCol w:w="5342"/>
      </w:tblGrid>
      <w:tr>
        <w:trPr>
          <w:tblHeader/>
          <w:cantSplit/>
        </w:trPr>
        <w:tc>
          <w:tcPr>
            <w:tcW w:type="dxa" w:w="1440"/>
            <w:vAlign w:val="center"/>
            <w:shd w:fill="DFEAF2"/>
          </w:tcPr>
          <w:p>
            <w:pPr>
              <w:spacing w:after="40" w:before="40" w:line="280" w:lineRule="exact"/>
              <w:jc w:val="center"/>
            </w:pPr>
            <w:r>
              <w:rPr>
                <w:b/>
                <w:sz w:val="20"/>
              </w:rPr>
              <w:t>标记</w:t>
            </w:r>
          </w:p>
        </w:tc>
        <w:tc>
          <w:tcPr>
            <w:tcW w:type="dxa" w:w="3384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5342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本文件中的用法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F 访谈事实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案例页面已采集的合成事实</w:t>
            </w:r>
          </w:p>
        </w:tc>
        <w:tc>
          <w:tcPr>
            <w:tcW w:type="dxa" w:w="534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可支持业务假设，不能作为真实企业制度或实绩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M 建模补全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为使流程可阅读而展开的节点和路径</w:t>
            </w:r>
          </w:p>
        </w:tc>
        <w:tc>
          <w:tcPr>
            <w:tcW w:type="dxa" w:w="534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角色拆分、网关位置及收尾条件均须业务确认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A 分析建议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痛点解释、AI 方案、指标与试点设计</w:t>
            </w:r>
          </w:p>
        </w:tc>
        <w:tc>
          <w:tcPr>
            <w:tcW w:type="dxa" w:w="534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用于评审和验证，尚未批准实施</w:t>
            </w:r>
          </w:p>
        </w:tc>
      </w:tr>
    </w:tbl>
    <w:p>
      <w:pPr>
        <w:spacing w:after="0"/>
      </w:pPr>
    </w:p>
    <w:p>
      <w:r>
        <w:t>页面为 36／36 条事实、100% 采集覆盖。此数值只说明演练事实已收集，不代表需求已经批准、真实流程已核验或试点已经验收。本文中的虚拟角色姓名仅用于证据定位。</w:t>
      </w:r>
    </w:p>
    <w:p>
      <w:r>
        <w:rPr>
          <w:b/>
        </w:rPr>
        <w:t xml:space="preserve">业务边界  </w:t>
      </w:r>
      <w:r>
        <w:t>从任务确认到交接记录及确认链归档。真实设备控制、安全培训替代、上岗资格判定和生产放行不在本次方案范围。</w:t>
      </w:r>
    </w:p>
    <w:p>
      <w:pPr>
        <w:spacing w:after="160"/>
      </w:pPr>
      <w:r>
        <w:rPr>
          <w:color w:val="555555"/>
          <w:sz w:val="18"/>
        </w:rPr>
        <w:t>依据：F00–F05、F32、F40–F45、F52。Fxx 为原证据 ID fsg-production-handover-fxx 的简写。完整原文保存在同目录的来源文件。</w:t>
      </w:r>
    </w:p>
    <w:p>
      <w:pPr>
        <w:pStyle w:val="Heading1"/>
        <w:pageBreakBefore/>
      </w:pPr>
      <w:r>
        <w:t>1 传统人工流程图与阅读方式</w:t>
      </w:r>
    </w:p>
    <w:p>
      <w:r>
        <w:t>主链为任务确认 → 培训记录 → 工序交接 → 异常回报 → 质量复核。图中 T01–T14 是人工活动，G01–G04 是互斥判断，W01 表示等待补充证据后重新复核。主图不包含 AI 自动决策。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12995" cy="4800600"/>
            <wp:docPr id="1" name="Picture 1" descr="传统人工 BPMN 全图。四条职能泳道，包含版本核实、异常返工、等待复核和接收确认。请打开同目录 SVG 放大阅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传统人工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2995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55555"/>
          <w:sz w:val="18"/>
        </w:rPr>
        <w:t>图 1  传统人工流程概览。完整大图请打开传统人工流程.svg 或 PNG；BPMN 文件用于后续编辑。</w:t>
      </w:r>
    </w:p>
    <w:p>
      <w:r>
        <w:rPr>
          <w:b/>
        </w:rPr>
        <w:t xml:space="preserve">图形约定  </w:t>
      </w:r>
      <w:r>
        <w:t>圆形为开始或结束事件，圆角矩形为任务，带 X 的菱形为互斥网关，实线箭头为同一流程内的顺序流。等待条件满足才重新流向复核。</w:t>
      </w:r>
    </w:p>
    <w:p>
      <w:r>
        <w:rPr>
          <w:b/>
        </w:rPr>
        <w:t xml:space="preserve">重建假设  </w:t>
      </w:r>
      <w:r>
        <w:t>本图暂按每单质量复核展开；实际全检或抽检频次待确认。接收方单独设泳道、资料准备前置核对、变更退回和最终接收关口均为 M。</w:t>
      </w:r>
    </w:p>
    <w:p>
      <w:r>
        <w:rPr>
          <w:b/>
        </w:rPr>
        <w:t xml:space="preserve">结束含义  </w:t>
      </w:r>
      <w:r>
        <w:t>E01 仅代表交接记录与确认链完成闭环，不等于生产获准继续。W01 等待中的记录仍未结案；质量方保留暂停试点的权利。</w:t>
      </w:r>
    </w:p>
    <w:p>
      <w:pPr>
        <w:spacing w:after="160"/>
      </w:pPr>
      <w:r>
        <w:rPr>
          <w:color w:val="555555"/>
          <w:sz w:val="18"/>
        </w:rPr>
        <w:t>建模规范参照 OMG BPMN 2.0.2。外部客户的通信触发与审批权尚未确定，日常主图不强设客户逐单审批。</w:t>
      </w:r>
    </w:p>
    <w:p>
      <w:pPr>
        <w:pStyle w:val="Heading1"/>
        <w:pageBreakBefore/>
      </w:pPr>
      <w:r>
        <w:t>2 角色职责与授权关系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45"/>
        <w:gridCol w:w="2621"/>
        <w:gridCol w:w="2707"/>
        <w:gridCol w:w="2794"/>
      </w:tblGrid>
      <w:tr>
        <w:trPr>
          <w:tblHeader/>
          <w:cantSplit/>
        </w:trPr>
        <w:tc>
          <w:tcPr>
            <w:tcW w:type="dxa" w:w="2045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角色与访谈对象</w:t>
            </w:r>
          </w:p>
        </w:tc>
        <w:tc>
          <w:tcPr>
            <w:tcW w:type="dxa" w:w="2621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主要责任</w:t>
            </w:r>
          </w:p>
        </w:tc>
        <w:tc>
          <w:tcPr>
            <w:tcW w:type="dxa" w:w="2707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输入与交付</w:t>
            </w:r>
          </w:p>
        </w:tc>
        <w:tc>
          <w:tcPr>
            <w:tcW w:type="dxa" w:w="2794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权限及待确认项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服务业务负责人</w:t>
              <w:br/>
              <w:t>顾明岚</w:t>
            </w:r>
          </w:p>
        </w:tc>
        <w:tc>
          <w:tcPr>
            <w:tcW w:type="dxa" w:w="262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决定试点范围；对应业务负责人正式确认变更</w:t>
            </w:r>
          </w:p>
        </w:tc>
        <w:tc>
          <w:tcPr>
            <w:tcW w:type="dxa" w:w="270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任务约束 → 范围决定、变更确认</w:t>
            </w:r>
          </w:p>
        </w:tc>
        <w:tc>
          <w:tcPr>
            <w:tcW w:type="dxa" w:w="279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可定范围；具体代理人、审批条件待确认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交付项目协调员</w:t>
              <w:br/>
              <w:t>唐映秋</w:t>
            </w:r>
          </w:p>
        </w:tc>
        <w:tc>
          <w:tcPr>
            <w:tcW w:type="dxa" w:w="262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跟踪各交接点、接收人、版本、未结项</w:t>
            </w:r>
          </w:p>
        </w:tc>
        <w:tc>
          <w:tcPr>
            <w:tcW w:type="dxa" w:w="270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交接记录 → 责任与期限清单、确认链</w:t>
            </w:r>
          </w:p>
        </w:tc>
        <w:tc>
          <w:tcPr>
            <w:tcW w:type="dxa" w:w="279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协调不等于有权代替接收方确认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外包现场专员</w:t>
              <w:br/>
              <w:t>林亦舟</w:t>
            </w:r>
          </w:p>
        </w:tc>
        <w:tc>
          <w:tcPr>
            <w:tcW w:type="dxa" w:w="262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提供培训与现场记录、提交变更；当班核对关键字段</w:t>
            </w:r>
          </w:p>
        </w:tc>
        <w:tc>
          <w:tcPr>
            <w:tcW w:type="dxa" w:w="270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原始记录 → 交接包、异常与修订提案</w:t>
            </w:r>
          </w:p>
        </w:tc>
        <w:tc>
          <w:tcPr>
            <w:tcW w:type="dxa" w:w="279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可提交，不能自行代替正式变更审批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交接接收方</w:t>
              <w:br/>
              <w:t>岗位待确定</w:t>
            </w:r>
          </w:p>
        </w:tc>
        <w:tc>
          <w:tcPr>
            <w:tcW w:type="dxa" w:w="262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核对数量、状态、期限及接收内容；记录接收意见</w:t>
            </w:r>
          </w:p>
        </w:tc>
        <w:tc>
          <w:tcPr>
            <w:tcW w:type="dxa" w:w="270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交接包 → 接收或异议记录</w:t>
            </w:r>
          </w:p>
        </w:tc>
        <w:tc>
          <w:tcPr>
            <w:tcW w:type="dxa" w:w="279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为建模拆分角色；具体岗位及代理规则待定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质量复核负责人</w:t>
              <w:br/>
              <w:t>傅景</w:t>
            </w:r>
          </w:p>
        </w:tc>
        <w:tc>
          <w:tcPr>
            <w:tcW w:type="dxa" w:w="262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审核来源、版本及结论；维护人工复核边界</w:t>
            </w:r>
          </w:p>
        </w:tc>
        <w:tc>
          <w:tcPr>
            <w:tcW w:type="dxa" w:w="270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交接与异常证据 → 复核意见、暂停建议或决定</w:t>
            </w:r>
          </w:p>
        </w:tc>
        <w:tc>
          <w:tcPr>
            <w:tcW w:type="dxa" w:w="279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质量及审核方可停止试点；逐单复核频次待确认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数据与系统工程师</w:t>
              <w:br/>
              <w:t>秦芮</w:t>
            </w:r>
          </w:p>
        </w:tc>
        <w:tc>
          <w:tcPr>
            <w:tcW w:type="dxa" w:w="262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提供授权脱敏导出、字段映射、数据质量及快照</w:t>
            </w:r>
          </w:p>
        </w:tc>
        <w:tc>
          <w:tcPr>
            <w:tcW w:type="dxa" w:w="270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三类源工具 → 数据快照与读取状态</w:t>
            </w:r>
          </w:p>
        </w:tc>
        <w:tc>
          <w:tcPr>
            <w:tcW w:type="dxa" w:w="279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仅只读；不替代业务解释与确认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客户项目负责人</w:t>
              <w:br/>
              <w:t>叶书</w:t>
            </w:r>
          </w:p>
        </w:tc>
        <w:tc>
          <w:tcPr>
            <w:tcW w:type="dxa" w:w="262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确认结果用途、对齐数量状态期限、参与效果复盘</w:t>
            </w:r>
          </w:p>
        </w:tc>
        <w:tc>
          <w:tcPr>
            <w:tcW w:type="dxa" w:w="270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原始证据与问题 → 用途确认、对账和反馈</w:t>
            </w:r>
          </w:p>
        </w:tc>
        <w:tc>
          <w:tcPr>
            <w:tcW w:type="dxa" w:w="279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对外承诺由业务人员确认；非默认逐单审批者</w:t>
            </w:r>
          </w:p>
        </w:tc>
      </w:tr>
    </w:tbl>
    <w:p>
      <w:pPr>
        <w:spacing w:after="0"/>
      </w:pPr>
    </w:p>
    <w:p>
      <w:pPr>
        <w:pStyle w:val="Heading2"/>
      </w:pPr>
      <w:r>
        <w:t>职责分离建议</w:t>
      </w:r>
    </w:p>
    <w:p>
      <w:r>
        <w:t>“提交材料的人”“确认变更的人”“质量复核的人”“接受交接的人”分别留痕。上述职责能否由同一人兼任、代理条件及冲突处理规则均需明确。资料负责人负责保存确认链，但其真实岗位和姓名尚未落实。</w:t>
      </w:r>
    </w:p>
    <w:p>
      <w:r>
        <w:t>未结事项的跟进人登记，不等于该人已经接受责任。跨团队责任变更须保留提出、协商与接受记录；对方未确认前，不能直接把事项改到对方名下。</w:t>
      </w:r>
    </w:p>
    <w:p>
      <w:pPr>
        <w:spacing w:after="160"/>
      </w:pPr>
      <w:r>
        <w:rPr>
          <w:color w:val="555555"/>
          <w:sz w:val="18"/>
        </w:rPr>
        <w:t>依据：F04、F14、F20–F25、F32、F41、F45、F50–F55。正式责任矩阵须由相应团队签认。</w:t>
      </w:r>
    </w:p>
    <w:p>
      <w:pPr>
        <w:pStyle w:val="Heading1"/>
        <w:pageBreakBefore/>
      </w:pPr>
      <w:r>
        <w:t>3 输入输出与业务对象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86"/>
        <w:gridCol w:w="3571"/>
        <w:gridCol w:w="2952"/>
        <w:gridCol w:w="1858"/>
      </w:tblGrid>
      <w:tr>
        <w:trPr>
          <w:tblHeader/>
          <w:cantSplit/>
        </w:trPr>
        <w:tc>
          <w:tcPr>
            <w:tcW w:type="dxa" w:w="1786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571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2952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产生或确认方</w:t>
            </w:r>
          </w:p>
        </w:tc>
        <w:tc>
          <w:tcPr>
            <w:tcW w:type="dxa" w:w="1858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使用节点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D01 任务依据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批次、岗位、工序、作业对象、要求与截止时间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业务负责人／客户输入；字段定义待定</w:t>
            </w:r>
          </w:p>
        </w:tc>
        <w:tc>
          <w:tcPr>
            <w:tcW w:type="dxa" w:w="185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T01 T02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D02 指引版本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版本标识、有效期、确认状态、作废原因、原文位置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资料负责人保管；适用性由授权业务人员确认</w:t>
            </w:r>
          </w:p>
        </w:tc>
        <w:tc>
          <w:tcPr>
            <w:tcW w:type="dxa" w:w="185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T02 T03 T06 T09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D03 培训记录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培训确认、所依据版本、覆盖的工序或变更内容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现场提供；培训确认含义待定</w:t>
            </w:r>
          </w:p>
        </w:tc>
        <w:tc>
          <w:tcPr>
            <w:tcW w:type="dxa" w:w="185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T03 T05 T09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D04 交接包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岗位、工序、适用版本、数量、接收人、未确认项与期限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提交方编制；接收方核对</w:t>
            </w:r>
          </w:p>
        </w:tc>
        <w:tc>
          <w:tcPr>
            <w:tcW w:type="dxa" w:w="185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T05 T06 T13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D05 异常记录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原始问题、发生节点、受影响对象、相关版本、责任及状态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现场记录；协调登记责任；质量复核</w:t>
            </w:r>
          </w:p>
        </w:tc>
        <w:tc>
          <w:tcPr>
            <w:tcW w:type="dxa" w:w="185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T07 T08 T09 T12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D06 变更与复核记录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修订前后值、原因、提出人、确认人、复核结论及时间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现场提案；对应业务负责人确认；质量出结论</w:t>
            </w:r>
          </w:p>
        </w:tc>
        <w:tc>
          <w:tcPr>
            <w:tcW w:type="dxa" w:w="185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T10 T11 T09</w:t>
            </w:r>
          </w:p>
        </w:tc>
      </w:tr>
      <w:tr>
        <w:trPr>
          <w:cantSplit/>
        </w:trPr>
        <w:tc>
          <w:tcPr>
            <w:tcW w:type="dxa" w:w="178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D07 归档确认链</w:t>
            </w:r>
          </w:p>
        </w:tc>
        <w:tc>
          <w:tcPr>
            <w:tcW w:type="dxa" w:w="357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源文件或原行、版本、建议、确认、接收意见、访问记录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资料负责人保存；具体岗位待定</w:t>
            </w:r>
          </w:p>
        </w:tc>
        <w:tc>
          <w:tcPr>
            <w:tcW w:type="dxa" w:w="185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T14及后续追溯</w:t>
            </w:r>
          </w:p>
        </w:tc>
      </w:tr>
    </w:tbl>
    <w:p>
      <w:pPr>
        <w:spacing w:after="0"/>
      </w:pPr>
    </w:p>
    <w:p>
      <w:pPr>
        <w:pStyle w:val="Heading2"/>
      </w:pPr>
      <w:r>
        <w:t>最小字段规则</w:t>
      </w:r>
    </w:p>
    <w:p>
      <w:r>
        <w:t>岗位代号、工序、指引版本、培训确认、异常及复核人为已提出的关键字段。接收人、未结项、截止时间也是访谈要求；这些字段是否已进入正式模板仍需核验。统一关联编号尚不存在，不能假设数据已天然关联。</w:t>
      </w:r>
    </w:p>
    <w:p>
      <w:r>
        <w:t>建议为每条提取值保存 source_id、原文件／页码／原行、版本标识及读取批次；业务发生时间与系统接收时间分列。源值缺失时记录“缺失”，已提供但未经人确认时记录“未确认”，不要都映射为空值或通过。字段名仅为 A 设计建议。</w:t>
      </w:r>
    </w:p>
    <w:p>
      <w:r>
        <w:t>关联优先使用经业务确认的编号与复合键。无法唯一关联时生成候选列表，由人确认；不要只用姓名、文件名或相似文本自动合并。重复编号、空时间、版本断链、单位差异保留原行，并单独记录标准化建议。</w:t>
      </w:r>
    </w:p>
    <w:p>
      <w:pPr>
        <w:spacing w:after="160"/>
      </w:pPr>
      <w:r>
        <w:rPr>
          <w:color w:val="555555"/>
          <w:sz w:val="18"/>
        </w:rPr>
        <w:t>依据：F20–F25、F30–F35、F43、F45、F53。资料归属、时间精度、单位及关联键属于待确认的数据契约。</w:t>
      </w:r>
    </w:p>
    <w:p>
      <w:pPr>
        <w:pStyle w:val="Heading1"/>
        <w:pageBreakBefore/>
      </w:pPr>
      <w:r>
        <w:t>4 人工活动说明 T01 至 T03</w:t>
      </w:r>
    </w:p>
    <w:p>
      <w:pPr>
        <w:pStyle w:val="Heading2"/>
      </w:pPr>
      <w:r>
        <w:t>T01 确认任务范围与适用要求</w:t>
      </w:r>
    </w:p>
    <w:p>
      <w:r>
        <w:rPr>
          <w:b/>
        </w:rPr>
        <w:t xml:space="preserve">责任角色  </w:t>
      </w:r>
      <w:r>
        <w:t>业务负责人及交付协调</w:t>
      </w:r>
    </w:p>
    <w:p>
      <w:r>
        <w:rPr>
          <w:b/>
        </w:rPr>
        <w:t xml:space="preserve">输入  </w:t>
      </w:r>
      <w:r>
        <w:t>D01 任务要求、批次边界、客户用途与时间要求。</w:t>
      </w:r>
    </w:p>
    <w:p>
      <w:r>
        <w:rPr>
          <w:b/>
        </w:rPr>
        <w:t xml:space="preserve">行为  </w:t>
      </w:r>
      <w:r>
        <w:t>人工澄清岗位、工序、对象、数量及本次交接范围；确认可用资料和责任分工。</w:t>
      </w:r>
    </w:p>
    <w:p>
      <w:r>
        <w:rPr>
          <w:b/>
        </w:rPr>
        <w:t xml:space="preserve">输出与流向  </w:t>
      </w:r>
      <w:r>
        <w:t>确认后的任务依据；待澄清事项清单。流向 T02。</w:t>
      </w:r>
    </w:p>
    <w:p>
      <w:r>
        <w:rPr>
          <w:b/>
        </w:rPr>
        <w:t xml:space="preserve">判断与异常  </w:t>
      </w:r>
      <w:r>
        <w:t>任务不能唯一定位或用途不明时先澄清，不自行扩大范围。发起者与字段门槛待确认。</w:t>
      </w:r>
    </w:p>
    <w:p>
      <w:pPr>
        <w:spacing w:after="160"/>
      </w:pPr>
      <w:r>
        <w:rPr>
          <w:color w:val="555555"/>
          <w:sz w:val="18"/>
        </w:rPr>
        <w:t>依据：F01 F04 F05 F20；活动细分为 M。</w:t>
      </w:r>
    </w:p>
    <w:p>
      <w:pPr>
        <w:pStyle w:val="Heading2"/>
      </w:pPr>
      <w:r>
        <w:t>T02 收集有效指引及培训资料</w:t>
      </w:r>
    </w:p>
    <w:p>
      <w:r>
        <w:rPr>
          <w:b/>
        </w:rPr>
        <w:t xml:space="preserve">责任角色  </w:t>
      </w:r>
      <w:r>
        <w:t>现场执行及培训</w:t>
      </w:r>
    </w:p>
    <w:p>
      <w:r>
        <w:rPr>
          <w:b/>
        </w:rPr>
        <w:t xml:space="preserve">输入  </w:t>
      </w:r>
      <w:r>
        <w:t>D01；文件库指引、台账培训记录、既有交接资料。</w:t>
      </w:r>
    </w:p>
    <w:p>
      <w:r>
        <w:rPr>
          <w:b/>
        </w:rPr>
        <w:t xml:space="preserve">行为  </w:t>
      </w:r>
      <w:r>
        <w:t>按岗位与工序人工查找原件，核对版本有效期、确认状态及作废情况；记录来源位置。</w:t>
      </w:r>
    </w:p>
    <w:p>
      <w:r>
        <w:rPr>
          <w:b/>
        </w:rPr>
        <w:t xml:space="preserve">输出与流向  </w:t>
      </w:r>
      <w:r>
        <w:t>D02 与 D03 的候选材料包、缺失或冲突列表。流向 T03。</w:t>
      </w:r>
    </w:p>
    <w:p>
      <w:r>
        <w:rPr>
          <w:b/>
        </w:rPr>
        <w:t xml:space="preserve">判断与异常  </w:t>
      </w:r>
      <w:r>
        <w:t>同一对象有多个版本时不按文件名猜测，交 T04 澄清；权威来源及裁定者待确定。</w:t>
      </w:r>
    </w:p>
    <w:p>
      <w:pPr>
        <w:spacing w:after="160"/>
      </w:pPr>
      <w:r>
        <w:rPr>
          <w:color w:val="555555"/>
          <w:sz w:val="18"/>
        </w:rPr>
        <w:t>依据：F10 F21 F24 F30。</w:t>
      </w:r>
    </w:p>
    <w:p>
      <w:pPr>
        <w:pStyle w:val="Heading2"/>
      </w:pPr>
      <w:r>
        <w:t>T03 核对培训记录与变更覆盖</w:t>
      </w:r>
    </w:p>
    <w:p>
      <w:r>
        <w:rPr>
          <w:b/>
        </w:rPr>
        <w:t xml:space="preserve">责任角色  </w:t>
      </w:r>
      <w:r>
        <w:t>现场执行及培训</w:t>
      </w:r>
    </w:p>
    <w:p>
      <w:r>
        <w:rPr>
          <w:b/>
        </w:rPr>
        <w:t xml:space="preserve">输入  </w:t>
      </w:r>
      <w:r>
        <w:t>D02 指引及变更内容、D03 培训记录。</w:t>
      </w:r>
    </w:p>
    <w:p>
      <w:r>
        <w:rPr>
          <w:b/>
        </w:rPr>
        <w:t xml:space="preserve">行为  </w:t>
      </w:r>
      <w:r>
        <w:t>对比培训记录与当前任务适用的指引，识别新增检查项是否有覆盖证据，并核对培训确认状态。</w:t>
      </w:r>
    </w:p>
    <w:p>
      <w:r>
        <w:rPr>
          <w:b/>
        </w:rPr>
        <w:t xml:space="preserve">输出与流向  </w:t>
      </w:r>
      <w:r>
        <w:t>已核对记录与培训覆盖差异；交 G01 判断。</w:t>
      </w:r>
    </w:p>
    <w:p>
      <w:r>
        <w:rPr>
          <w:b/>
        </w:rPr>
        <w:t xml:space="preserve">判断与异常  </w:t>
      </w:r>
      <w:r>
        <w:t>历史培训记录不因旧版本号必然作废；是否补训须由人判定。培训确认不能推导上岗或放行资格。</w:t>
      </w:r>
    </w:p>
    <w:p>
      <w:pPr>
        <w:spacing w:after="160"/>
      </w:pPr>
      <w:r>
        <w:rPr>
          <w:color w:val="555555"/>
          <w:sz w:val="18"/>
        </w:rPr>
        <w:t>依据：F10 F11 F31；覆盖判断展开为 M。</w:t>
      </w:r>
    </w:p>
    <w:p>
      <w:pPr>
        <w:pStyle w:val="Heading1"/>
        <w:pageBreakBefore/>
      </w:pPr>
      <w:r>
        <w:t>5 人工活动说明 T04 至 T06</w:t>
      </w:r>
    </w:p>
    <w:p>
      <w:pPr>
        <w:pStyle w:val="Heading2"/>
      </w:pPr>
      <w:r>
        <w:t>T04 补齐或澄清依据</w:t>
      </w:r>
    </w:p>
    <w:p>
      <w:r>
        <w:rPr>
          <w:b/>
        </w:rPr>
        <w:t xml:space="preserve">责任角色  </w:t>
      </w:r>
      <w:r>
        <w:t>业务负责人及交付协调</w:t>
      </w:r>
    </w:p>
    <w:p>
      <w:r>
        <w:rPr>
          <w:b/>
        </w:rPr>
        <w:t xml:space="preserve">输入  </w:t>
      </w:r>
      <w:r>
        <w:t>G01 不满足项、冲突版本、缺失记录及来源。</w:t>
      </w:r>
    </w:p>
    <w:p>
      <w:r>
        <w:rPr>
          <w:b/>
        </w:rPr>
        <w:t xml:space="preserve">行为  </w:t>
      </w:r>
      <w:r>
        <w:t>联系资料或业务责任方补证，登记疑点、负责人和处理结果；版本正式确认由有权人员完成。</w:t>
      </w:r>
    </w:p>
    <w:p>
      <w:r>
        <w:rPr>
          <w:b/>
        </w:rPr>
        <w:t xml:space="preserve">输出与流向  </w:t>
      </w:r>
      <w:r>
        <w:t>澄清后的材料或保留待确认记录；有新证据后回 T02。</w:t>
      </w:r>
    </w:p>
    <w:p>
      <w:r>
        <w:rPr>
          <w:b/>
        </w:rPr>
        <w:t xml:space="preserve">判断与异常  </w:t>
      </w:r>
      <w:r>
        <w:t>补不齐则保持待确认，不虚构有效期、发生时间或培训完成。处理时限及升级路径待定。</w:t>
      </w:r>
    </w:p>
    <w:p>
      <w:pPr>
        <w:spacing w:after="160"/>
      </w:pPr>
      <w:r>
        <w:rPr>
          <w:color w:val="555555"/>
          <w:sz w:val="18"/>
        </w:rPr>
        <w:t>依据：F24 F25 F41 F44；循环路径为 M。</w:t>
      </w:r>
    </w:p>
    <w:p>
      <w:pPr>
        <w:pStyle w:val="Heading2"/>
      </w:pPr>
      <w:r>
        <w:t>T05 编制并提交交接包</w:t>
      </w:r>
    </w:p>
    <w:p>
      <w:r>
        <w:rPr>
          <w:b/>
        </w:rPr>
        <w:t xml:space="preserve">责任角色  </w:t>
      </w:r>
      <w:r>
        <w:t>现场执行及培训</w:t>
      </w:r>
    </w:p>
    <w:p>
      <w:r>
        <w:rPr>
          <w:b/>
        </w:rPr>
        <w:t xml:space="preserve">输入  </w:t>
      </w:r>
      <w:r>
        <w:t>经核对的 D01–D03、数量、状态、既有异常与未结项。</w:t>
      </w:r>
    </w:p>
    <w:p>
      <w:r>
        <w:rPr>
          <w:b/>
        </w:rPr>
        <w:t xml:space="preserve">行为  </w:t>
      </w:r>
      <w:r>
        <w:t>整理版本、接收人、未确认事项及期限，附原始来源；记录本次提交时间与提交人。</w:t>
      </w:r>
    </w:p>
    <w:p>
      <w:r>
        <w:rPr>
          <w:b/>
        </w:rPr>
        <w:t xml:space="preserve">输出与流向  </w:t>
      </w:r>
      <w:r>
        <w:t>D04 交接包及本次提交版本。流向 T06。</w:t>
      </w:r>
    </w:p>
    <w:p>
      <w:r>
        <w:rPr>
          <w:b/>
        </w:rPr>
        <w:t xml:space="preserve">判断与异常  </w:t>
      </w:r>
      <w:r>
        <w:t>提交只代表材料已交出；不自动改变接收确认、质量复核或责任接受状态。</w:t>
      </w:r>
    </w:p>
    <w:p>
      <w:pPr>
        <w:spacing w:after="160"/>
      </w:pPr>
      <w:r>
        <w:rPr>
          <w:color w:val="555555"/>
          <w:sz w:val="18"/>
        </w:rPr>
        <w:t>依据：F14 F20 F23 F25 F53。</w:t>
      </w:r>
    </w:p>
    <w:p>
      <w:pPr>
        <w:pStyle w:val="Heading2"/>
      </w:pPr>
      <w:r>
        <w:t>T06 按原始记录核对交接</w:t>
      </w:r>
    </w:p>
    <w:p>
      <w:r>
        <w:rPr>
          <w:b/>
        </w:rPr>
        <w:t xml:space="preserve">责任角色  </w:t>
      </w:r>
      <w:r>
        <w:t>交接接收方</w:t>
      </w:r>
    </w:p>
    <w:p>
      <w:r>
        <w:rPr>
          <w:b/>
        </w:rPr>
        <w:t xml:space="preserve">输入  </w:t>
      </w:r>
      <w:r>
        <w:t>D04 交接包及 D02、D03、D05 原始依据。</w:t>
      </w:r>
    </w:p>
    <w:p>
      <w:r>
        <w:rPr>
          <w:b/>
        </w:rPr>
        <w:t xml:space="preserve">行为  </w:t>
      </w:r>
      <w:r>
        <w:t>双方逐项核对数量、状态、截止时间、适用版本和未结项；接收方记录问题而非只看汇总表。</w:t>
      </w:r>
    </w:p>
    <w:p>
      <w:r>
        <w:rPr>
          <w:b/>
        </w:rPr>
        <w:t xml:space="preserve">输出与流向  </w:t>
      </w:r>
      <w:r>
        <w:t>核对意见与差异记录；交 G02。</w:t>
      </w:r>
    </w:p>
    <w:p>
      <w:r>
        <w:rPr>
          <w:b/>
        </w:rPr>
        <w:t xml:space="preserve">判断与异常  </w:t>
      </w:r>
      <w:r>
        <w:t>发现缺项、版本矛盾或未结异常则进入异常分支；无异常仍按本图进入 T09，复核频次待确认。</w:t>
      </w:r>
    </w:p>
    <w:p>
      <w:pPr>
        <w:spacing w:after="160"/>
      </w:pPr>
      <w:r>
        <w:rPr>
          <w:color w:val="555555"/>
          <w:sz w:val="18"/>
        </w:rPr>
        <w:t>依据：F14 F20 F53；接收岗位拆分为 M。</w:t>
      </w:r>
    </w:p>
    <w:p>
      <w:pPr>
        <w:pStyle w:val="Heading1"/>
        <w:pageBreakBefore/>
      </w:pPr>
      <w:r>
        <w:t>6 人工活动说明 T07 至 T09</w:t>
      </w:r>
    </w:p>
    <w:p>
      <w:pPr>
        <w:pStyle w:val="Heading2"/>
      </w:pPr>
      <w:r>
        <w:t>T07 登记原始异常</w:t>
      </w:r>
    </w:p>
    <w:p>
      <w:r>
        <w:rPr>
          <w:b/>
        </w:rPr>
        <w:t xml:space="preserve">责任角色  </w:t>
      </w:r>
      <w:r>
        <w:t>现场执行及培训</w:t>
      </w:r>
    </w:p>
    <w:p>
      <w:r>
        <w:rPr>
          <w:b/>
        </w:rPr>
        <w:t xml:space="preserve">输入  </w:t>
      </w:r>
      <w:r>
        <w:t>G02 差异或 G04 接收异议、群消息、客户原始问题。</w:t>
      </w:r>
    </w:p>
    <w:p>
      <w:r>
        <w:rPr>
          <w:b/>
        </w:rPr>
        <w:t xml:space="preserve">行为  </w:t>
      </w:r>
      <w:r>
        <w:t>记录原始问题、发生节点、受影响对象、关联版本与恢复需求；分开记录发生时间及补填时间。</w:t>
      </w:r>
    </w:p>
    <w:p>
      <w:r>
        <w:rPr>
          <w:b/>
        </w:rPr>
        <w:t xml:space="preserve">输出与流向  </w:t>
      </w:r>
      <w:r>
        <w:t>D05 异常记录和证据索引。流向 T08。</w:t>
      </w:r>
    </w:p>
    <w:p>
      <w:r>
        <w:rPr>
          <w:b/>
        </w:rPr>
        <w:t xml:space="preserve">判断与异常  </w:t>
      </w:r>
      <w:r>
        <w:t>不把群内“已处理”当成闭环，不推测投诉人的意图；发生时间不明则明确未知。</w:t>
      </w:r>
    </w:p>
    <w:p>
      <w:pPr>
        <w:spacing w:after="160"/>
      </w:pPr>
      <w:r>
        <w:rPr>
          <w:color w:val="555555"/>
          <w:sz w:val="18"/>
        </w:rPr>
        <w:t>依据：F10 F11 F13 F34 F54。</w:t>
      </w:r>
    </w:p>
    <w:p>
      <w:pPr>
        <w:pStyle w:val="Heading2"/>
      </w:pPr>
      <w:r>
        <w:t>T08 确认责任人与处理期限</w:t>
      </w:r>
    </w:p>
    <w:p>
      <w:r>
        <w:rPr>
          <w:b/>
        </w:rPr>
        <w:t xml:space="preserve">责任角色  </w:t>
      </w:r>
      <w:r>
        <w:t>业务负责人及交付协调</w:t>
      </w:r>
    </w:p>
    <w:p>
      <w:r>
        <w:rPr>
          <w:b/>
        </w:rPr>
        <w:t xml:space="preserve">输入  </w:t>
      </w:r>
      <w:r>
        <w:t>D05、各方意见、未结项状态及已有期限。</w:t>
      </w:r>
    </w:p>
    <w:p>
      <w:r>
        <w:rPr>
          <w:b/>
        </w:rPr>
        <w:t xml:space="preserve">行为  </w:t>
      </w:r>
      <w:r>
        <w:t>协调处理方，记录跟进责任、期限与接受情况；保存原有责任链；争议交有权业务人员处理。</w:t>
      </w:r>
    </w:p>
    <w:p>
      <w:r>
        <w:rPr>
          <w:b/>
        </w:rPr>
        <w:t xml:space="preserve">输出与流向  </w:t>
      </w:r>
      <w:r>
        <w:t>带责任接受状态的异常清单。流向 T09。</w:t>
      </w:r>
    </w:p>
    <w:p>
      <w:r>
        <w:rPr>
          <w:b/>
        </w:rPr>
        <w:t xml:space="preserve">判断与异常  </w:t>
      </w:r>
      <w:r>
        <w:t>未获对方确认不得单方转责；期限、超期升级人及争议仲裁者待确认。</w:t>
      </w:r>
    </w:p>
    <w:p>
      <w:pPr>
        <w:spacing w:after="160"/>
      </w:pPr>
      <w:r>
        <w:rPr>
          <w:color w:val="555555"/>
          <w:sz w:val="18"/>
        </w:rPr>
        <w:t>依据：F20 F23 F25；责任接受字段为 A。</w:t>
      </w:r>
    </w:p>
    <w:p>
      <w:pPr>
        <w:pStyle w:val="Heading2"/>
      </w:pPr>
      <w:r>
        <w:t>T09 人工质量复核</w:t>
      </w:r>
    </w:p>
    <w:p>
      <w:r>
        <w:rPr>
          <w:b/>
        </w:rPr>
        <w:t xml:space="preserve">责任角色  </w:t>
      </w:r>
      <w:r>
        <w:t>质量复核</w:t>
      </w:r>
    </w:p>
    <w:p>
      <w:r>
        <w:rPr>
          <w:b/>
        </w:rPr>
        <w:t xml:space="preserve">输入  </w:t>
      </w:r>
      <w:r>
        <w:t>D04–D06、源版本、异常与处理证据、人工确认记录。</w:t>
      </w:r>
    </w:p>
    <w:p>
      <w:r>
        <w:rPr>
          <w:b/>
        </w:rPr>
        <w:t xml:space="preserve">行为  </w:t>
      </w:r>
      <w:r>
        <w:t>核对授权用途、来源完整性、版本适用与关键字段；明确通过、需修正或待核查的意见及依据。</w:t>
      </w:r>
    </w:p>
    <w:p>
      <w:r>
        <w:rPr>
          <w:b/>
        </w:rPr>
        <w:t xml:space="preserve">输出与流向  </w:t>
      </w:r>
      <w:r>
        <w:t>人工复核记录与 G03 决策依据。</w:t>
      </w:r>
    </w:p>
    <w:p>
      <w:r>
        <w:rPr>
          <w:b/>
        </w:rPr>
        <w:t xml:space="preserve">判断与异常  </w:t>
      </w:r>
      <w:r>
        <w:t>证据不足进入人工队列，必要时暂停试点；无证据不能默认通过。全检或抽检范围待定。</w:t>
      </w:r>
    </w:p>
    <w:p>
      <w:pPr>
        <w:spacing w:after="160"/>
      </w:pPr>
      <w:r>
        <w:rPr>
          <w:color w:val="555555"/>
          <w:sz w:val="18"/>
        </w:rPr>
        <w:t>依据：F40 F41 F42 F44 F45。</w:t>
      </w:r>
    </w:p>
    <w:p>
      <w:pPr>
        <w:pStyle w:val="Heading1"/>
        <w:pageBreakBefore/>
      </w:pPr>
      <w:r>
        <w:t>7 人工活动说明 T10 至 T12</w:t>
      </w:r>
    </w:p>
    <w:p>
      <w:pPr>
        <w:pStyle w:val="Heading2"/>
      </w:pPr>
      <w:r>
        <w:t>T10 修正记录并提交变更</w:t>
      </w:r>
    </w:p>
    <w:p>
      <w:r>
        <w:rPr>
          <w:b/>
        </w:rPr>
        <w:t xml:space="preserve">责任角色  </w:t>
      </w:r>
      <w:r>
        <w:t>现场执行及培训</w:t>
      </w:r>
    </w:p>
    <w:p>
      <w:r>
        <w:rPr>
          <w:b/>
        </w:rPr>
        <w:t xml:space="preserve">输入  </w:t>
      </w:r>
      <w:r>
        <w:t>T09 修正意见、原始记录及关联异常。</w:t>
      </w:r>
    </w:p>
    <w:p>
      <w:r>
        <w:rPr>
          <w:b/>
        </w:rPr>
        <w:t xml:space="preserve">行为  </w:t>
      </w:r>
      <w:r>
        <w:t>补充或更正记录，保留原值、修订理由、版本与提出人；形成变更提案。</w:t>
      </w:r>
    </w:p>
    <w:p>
      <w:r>
        <w:rPr>
          <w:b/>
        </w:rPr>
        <w:t xml:space="preserve">输出与流向  </w:t>
      </w:r>
      <w:r>
        <w:t>D06 变更提案与新旧对照。流向 T11。</w:t>
      </w:r>
    </w:p>
    <w:p>
      <w:r>
        <w:rPr>
          <w:b/>
        </w:rPr>
        <w:t xml:space="preserve">判断与异常  </w:t>
      </w:r>
      <w:r>
        <w:t>区分补材料、改记录、更新指引及需要补训；不同处置可能返回不同业务环节，不一律重训。</w:t>
      </w:r>
    </w:p>
    <w:p>
      <w:pPr>
        <w:spacing w:after="160"/>
      </w:pPr>
      <w:r>
        <w:rPr>
          <w:color w:val="555555"/>
          <w:sz w:val="18"/>
        </w:rPr>
        <w:t>依据：F14 F22 F33 F43；分支细化待确认。</w:t>
      </w:r>
    </w:p>
    <w:p>
      <w:pPr>
        <w:pStyle w:val="Heading2"/>
      </w:pPr>
      <w:r>
        <w:t>T11 授权负责人确认变更</w:t>
      </w:r>
    </w:p>
    <w:p>
      <w:r>
        <w:rPr>
          <w:b/>
        </w:rPr>
        <w:t xml:space="preserve">责任角色  </w:t>
      </w:r>
      <w:r>
        <w:t>业务负责人及交付协调</w:t>
      </w:r>
    </w:p>
    <w:p>
      <w:r>
        <w:rPr>
          <w:b/>
        </w:rPr>
        <w:t xml:space="preserve">输入  </w:t>
      </w:r>
      <w:r>
        <w:t>D06 提案、修订依据及影响对象。</w:t>
      </w:r>
    </w:p>
    <w:p>
      <w:r>
        <w:rPr>
          <w:b/>
        </w:rPr>
        <w:t xml:space="preserve">行为  </w:t>
      </w:r>
      <w:r>
        <w:t>对应业务负责人确认变更内容，保存确认人、时间与影响版本；未经确认的提案维持草案。</w:t>
      </w:r>
    </w:p>
    <w:p>
      <w:r>
        <w:rPr>
          <w:b/>
        </w:rPr>
        <w:t xml:space="preserve">输出与流向  </w:t>
      </w:r>
      <w:r>
        <w:t>已确认变更后回 T05 重建并再次核对交接包。</w:t>
      </w:r>
    </w:p>
    <w:p>
      <w:r>
        <w:rPr>
          <w:b/>
        </w:rPr>
        <w:t xml:space="preserve">判断与异常  </w:t>
      </w:r>
      <w:r>
        <w:t>图中回 T05 仅表示获得确认后继续；被驳回或仍待补证时留在本任务处理，不自动变为有效版本。</w:t>
      </w:r>
    </w:p>
    <w:p>
      <w:pPr>
        <w:spacing w:after="160"/>
      </w:pPr>
      <w:r>
        <w:rPr>
          <w:color w:val="555555"/>
          <w:sz w:val="18"/>
        </w:rPr>
        <w:t>依据：F22 F24 F25 F41；任务内驳回处理为 M。</w:t>
      </w:r>
    </w:p>
    <w:p>
      <w:pPr>
        <w:pStyle w:val="Heading2"/>
      </w:pPr>
      <w:r>
        <w:t>T12 保留未结项并进入人工队列</w:t>
      </w:r>
    </w:p>
    <w:p>
      <w:r>
        <w:rPr>
          <w:b/>
        </w:rPr>
        <w:t xml:space="preserve">责任角色  </w:t>
      </w:r>
      <w:r>
        <w:t>质量复核</w:t>
      </w:r>
    </w:p>
    <w:p>
      <w:r>
        <w:rPr>
          <w:b/>
        </w:rPr>
        <w:t xml:space="preserve">输入  </w:t>
      </w:r>
      <w:r>
        <w:t>G03 待核查项、缺失依据、现有责任与状态。</w:t>
      </w:r>
    </w:p>
    <w:p>
      <w:r>
        <w:rPr>
          <w:b/>
        </w:rPr>
        <w:t xml:space="preserve">行为  </w:t>
      </w:r>
      <w:r>
        <w:t>明确待核查原因、人工处理人及下一步；保持原始证据和未结状态，必要时申请或执行试点暂停。</w:t>
      </w:r>
    </w:p>
    <w:p>
      <w:r>
        <w:rPr>
          <w:b/>
        </w:rPr>
        <w:t xml:space="preserve">输出与流向  </w:t>
      </w:r>
      <w:r>
        <w:t>人工队列记录；等待 W01 的补证与再次复核条件。</w:t>
      </w:r>
    </w:p>
    <w:p>
      <w:r>
        <w:rPr>
          <w:b/>
        </w:rPr>
        <w:t xml:space="preserve">判断与异常  </w:t>
      </w:r>
      <w:r>
        <w:t>等待不是结案。恢复评审需有新证据和人工触发；响应时限、暂停及恢复权限待确认。</w:t>
      </w:r>
    </w:p>
    <w:p>
      <w:pPr>
        <w:spacing w:after="160"/>
      </w:pPr>
      <w:r>
        <w:rPr>
          <w:color w:val="555555"/>
          <w:sz w:val="18"/>
        </w:rPr>
        <w:t>依据：F35 F42 F44；W01 实现方式为 M。</w:t>
      </w:r>
    </w:p>
    <w:p>
      <w:pPr>
        <w:pStyle w:val="Heading1"/>
        <w:pageBreakBefore/>
      </w:pPr>
      <w:r>
        <w:t>8 人工活动说明 T13 至 T14</w:t>
      </w:r>
    </w:p>
    <w:p>
      <w:pPr>
        <w:pStyle w:val="Heading2"/>
      </w:pPr>
      <w:r>
        <w:t>T13 记录接收确认意见</w:t>
      </w:r>
    </w:p>
    <w:p>
      <w:r>
        <w:rPr>
          <w:b/>
        </w:rPr>
        <w:t xml:space="preserve">责任角色  </w:t>
      </w:r>
      <w:r>
        <w:t>交接接收方</w:t>
      </w:r>
    </w:p>
    <w:p>
      <w:r>
        <w:rPr>
          <w:b/>
        </w:rPr>
        <w:t xml:space="preserve">输入  </w:t>
      </w:r>
      <w:r>
        <w:t>质量意见、更新后的 D04、未结项及责任确认。</w:t>
      </w:r>
    </w:p>
    <w:p>
      <w:r>
        <w:rPr>
          <w:b/>
        </w:rPr>
        <w:t xml:space="preserve">行为  </w:t>
      </w:r>
      <w:r>
        <w:t>再次核对接收内容、版本、数量、状态与期限，记录接收意见及时间；如有异议转 G04 否分支。</w:t>
      </w:r>
    </w:p>
    <w:p>
      <w:r>
        <w:rPr>
          <w:b/>
        </w:rPr>
        <w:t xml:space="preserve">输出与流向  </w:t>
      </w:r>
      <w:r>
        <w:t>明确接收意见及其对应版本；G04 确认后流向 T14。</w:t>
      </w:r>
    </w:p>
    <w:p>
      <w:r>
        <w:rPr>
          <w:b/>
        </w:rPr>
        <w:t xml:space="preserve">判断与异常  </w:t>
      </w:r>
      <w:r>
        <w:t>接收确认不替代质量复核；接受资料不等于承接未确认责任。是否允许带非阻断未结项接收待定。</w:t>
      </w:r>
    </w:p>
    <w:p>
      <w:pPr>
        <w:spacing w:after="160"/>
      </w:pPr>
      <w:r>
        <w:rPr>
          <w:color w:val="555555"/>
          <w:sz w:val="18"/>
        </w:rPr>
        <w:t>依据：F14 F20 F25 F53；最终接收关口为 M。</w:t>
      </w:r>
    </w:p>
    <w:p>
      <w:pPr>
        <w:pStyle w:val="Heading2"/>
      </w:pPr>
      <w:r>
        <w:t>T14 归档来源及确认链</w:t>
      </w:r>
    </w:p>
    <w:p>
      <w:r>
        <w:rPr>
          <w:b/>
        </w:rPr>
        <w:t xml:space="preserve">责任角色  </w:t>
      </w:r>
      <w:r>
        <w:t>业务负责人及交付协调</w:t>
      </w:r>
    </w:p>
    <w:p>
      <w:r>
        <w:rPr>
          <w:b/>
        </w:rPr>
        <w:t xml:space="preserve">输入  </w:t>
      </w:r>
      <w:r>
        <w:t>D01–D06、接收确认、复核意见及版本链。</w:t>
      </w:r>
    </w:p>
    <w:p>
      <w:r>
        <w:rPr>
          <w:b/>
        </w:rPr>
        <w:t xml:space="preserve">行为  </w:t>
      </w:r>
      <w:r>
        <w:t>由资料负责人保管原件、修订原因、确认人和访问记录；登记闭环范围与仍独立跟踪的事项。</w:t>
      </w:r>
    </w:p>
    <w:p>
      <w:r>
        <w:rPr>
          <w:b/>
        </w:rPr>
        <w:t xml:space="preserve">输出与流向  </w:t>
      </w:r>
      <w:r>
        <w:t>D07 可追溯归档包；E01 交接记录闭环。</w:t>
      </w:r>
    </w:p>
    <w:p>
      <w:r>
        <w:rPr>
          <w:b/>
        </w:rPr>
        <w:t xml:space="preserve">判断与异常  </w:t>
      </w:r>
      <w:r>
        <w:t>存在阻断性未确认项时不进入成功结束。保留期、删除执行与核验方式待项目约定。</w:t>
      </w:r>
    </w:p>
    <w:p>
      <w:pPr>
        <w:spacing w:after="160"/>
      </w:pPr>
      <w:r>
        <w:rPr>
          <w:color w:val="555555"/>
          <w:sz w:val="18"/>
        </w:rPr>
        <w:t>依据：F14 F25 F43 F45；收尾条件为 M。</w:t>
      </w:r>
    </w:p>
    <w:p>
      <w:pPr>
        <w:pStyle w:val="Heading2"/>
      </w:pPr>
      <w:r>
        <w:t>W01 等待补充证据后重新复核</w:t>
      </w:r>
    </w:p>
    <w:p>
      <w:r>
        <w:t>T12 后的条件捕获事件只等待已提交补充证据且已触发人工复核。条件满足后返回 T09，由质量人员重新给出结论。不能因为等待超过某个时长而自动通过；具体到期提醒、人工升级与恢复机制仍待确定。</w:t>
      </w:r>
    </w:p>
    <w:p>
      <w:r>
        <w:t>如果后续核实存在全局暂停或撤销流程，应另建对应事件或子流程，并说明所有在途记录如何保留。本文不把“暂停试点”画成所有异常记录已经关闭。</w:t>
      </w:r>
    </w:p>
    <w:p>
      <w:pPr>
        <w:pStyle w:val="Heading1"/>
        <w:pageBreakBefore/>
      </w:pPr>
      <w:r>
        <w:t>9 网关判断与状态规则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238"/>
        <w:gridCol w:w="3053"/>
        <w:gridCol w:w="2534"/>
        <w:gridCol w:w="3341"/>
      </w:tblGrid>
      <w:tr>
        <w:trPr>
          <w:tblHeader/>
          <w:cantSplit/>
        </w:trPr>
        <w:tc>
          <w:tcPr>
            <w:tcW w:type="dxa" w:w="1238"/>
            <w:vAlign w:val="center"/>
            <w:shd w:fill="DFEAF2"/>
          </w:tcPr>
          <w:p>
            <w:pPr>
              <w:spacing w:after="40" w:before="40" w:line="280" w:lineRule="exact"/>
              <w:jc w:val="center"/>
            </w:pPr>
            <w:r>
              <w:rPr>
                <w:b/>
                <w:sz w:val="20"/>
              </w:rPr>
              <w:t>网关</w:t>
            </w:r>
          </w:p>
        </w:tc>
        <w:tc>
          <w:tcPr>
            <w:tcW w:type="dxa" w:w="3053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人工判断依据</w:t>
            </w:r>
          </w:p>
        </w:tc>
        <w:tc>
          <w:tcPr>
            <w:tcW w:type="dxa" w:w="2534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分支与结果</w:t>
            </w:r>
          </w:p>
        </w:tc>
        <w:tc>
          <w:tcPr>
            <w:tcW w:type="dxa" w:w="3341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禁止的替代判断</w:t>
            </w:r>
          </w:p>
        </w:tc>
      </w:tr>
      <w:tr>
        <w:trPr>
          <w:cantSplit/>
        </w:trPr>
        <w:tc>
          <w:tcPr>
            <w:tcW w:type="dxa" w:w="1238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G01</w:t>
              <w:br/>
              <w:t>依据明确且记录齐备</w:t>
            </w:r>
          </w:p>
        </w:tc>
        <w:tc>
          <w:tcPr>
            <w:tcW w:type="dxa" w:w="3053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任务可定位；版本有效期与确认状态有依据；关键字段及培训覆盖可核实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是 → T05</w:t>
              <w:br/>
              <w:t>否或无法确认 → T04</w:t>
            </w:r>
          </w:p>
        </w:tc>
        <w:tc>
          <w:tcPr>
            <w:tcW w:type="dxa" w:w="334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文件名最新；培训签到直接等于覆盖全部变更</w:t>
            </w:r>
          </w:p>
        </w:tc>
      </w:tr>
      <w:tr>
        <w:trPr>
          <w:cantSplit/>
        </w:trPr>
        <w:tc>
          <w:tcPr>
            <w:tcW w:type="dxa" w:w="1238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G02</w:t>
              <w:br/>
              <w:t>是否发现异常</w:t>
            </w:r>
          </w:p>
        </w:tc>
        <w:tc>
          <w:tcPr>
            <w:tcW w:type="dxa" w:w="3053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缺项、版本冲突、数量状态期限差异、未结异常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有异常 → T07</w:t>
              <w:br/>
              <w:t>未发现异常 → T09</w:t>
            </w:r>
          </w:p>
        </w:tc>
        <w:tc>
          <w:tcPr>
            <w:tcW w:type="dxa" w:w="334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只看两张汇总表相同就确认</w:t>
            </w:r>
          </w:p>
        </w:tc>
      </w:tr>
      <w:tr>
        <w:trPr>
          <w:cantSplit/>
        </w:trPr>
        <w:tc>
          <w:tcPr>
            <w:tcW w:type="dxa" w:w="1238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G03</w:t>
              <w:br/>
              <w:t>复核结论</w:t>
            </w:r>
          </w:p>
        </w:tc>
        <w:tc>
          <w:tcPr>
            <w:tcW w:type="dxa" w:w="3053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授权人依据原始证据形成互斥结论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通过 → T13</w:t>
              <w:br/>
              <w:t>需修正 → T10</w:t>
              <w:br/>
              <w:t>待核查 → T12</w:t>
            </w:r>
          </w:p>
        </w:tc>
        <w:tc>
          <w:tcPr>
            <w:tcW w:type="dxa" w:w="334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系统置信度高就通过；来源读取失败仍判最新</w:t>
            </w:r>
          </w:p>
        </w:tc>
      </w:tr>
      <w:tr>
        <w:trPr>
          <w:cantSplit/>
        </w:trPr>
        <w:tc>
          <w:tcPr>
            <w:tcW w:type="dxa" w:w="1238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G04</w:t>
              <w:br/>
              <w:t>接收方确认</w:t>
            </w:r>
          </w:p>
        </w:tc>
        <w:tc>
          <w:tcPr>
            <w:tcW w:type="dxa" w:w="3053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接收内容及对应版本明确；异议已处理；责任接受可核实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已确认 → T14</w:t>
              <w:br/>
              <w:t>有异议或未确认 → T07</w:t>
            </w:r>
          </w:p>
        </w:tc>
        <w:tc>
          <w:tcPr>
            <w:tcW w:type="dxa" w:w="3341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提交成功、群消息已读或超时视为接收</w:t>
            </w:r>
          </w:p>
        </w:tc>
      </w:tr>
    </w:tbl>
    <w:p>
      <w:pPr>
        <w:spacing w:after="0"/>
      </w:pPr>
    </w:p>
    <w:p>
      <w:r>
        <w:t>G01 的完整门槛、G03 的阻断条件、G04 的可接收条件是 M／A，应由业务和质量团队形成可签认规则。三个分支必须互斥；证据不充分时归入待核查，不允许与通过同时成立。</w:t>
      </w:r>
    </w:p>
    <w:p>
      <w:pPr>
        <w:pStyle w:val="Heading2"/>
      </w:pPr>
      <w:r>
        <w:t>建议把状态分成五个维度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195"/>
        <w:gridCol w:w="3802"/>
        <w:gridCol w:w="5170"/>
      </w:tblGrid>
      <w:tr>
        <w:trPr>
          <w:tblHeader/>
          <w:cantSplit/>
        </w:trPr>
        <w:tc>
          <w:tcPr>
            <w:tcW w:type="dxa" w:w="1195"/>
            <w:vAlign w:val="center"/>
            <w:shd w:fill="DFEAF2"/>
          </w:tcPr>
          <w:p>
            <w:pPr>
              <w:spacing w:after="40" w:before="40" w:line="280" w:lineRule="exact"/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3802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候选状态</w:t>
            </w:r>
          </w:p>
        </w:tc>
        <w:tc>
          <w:tcPr>
            <w:tcW w:type="dxa" w:w="5170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维护原则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材料</w:t>
            </w:r>
          </w:p>
        </w:tc>
        <w:tc>
          <w:tcPr>
            <w:tcW w:type="dxa" w:w="380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缺失／已有／存在冲突</w:t>
            </w:r>
          </w:p>
        </w:tc>
        <w:tc>
          <w:tcPr>
            <w:tcW w:type="dxa" w:w="517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材料存在与内容正确分别判断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版本</w:t>
            </w:r>
          </w:p>
        </w:tc>
        <w:tc>
          <w:tcPr>
            <w:tcW w:type="dxa" w:w="380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适用已确认／待确认／已作废</w:t>
            </w:r>
          </w:p>
        </w:tc>
        <w:tc>
          <w:tcPr>
            <w:tcW w:type="dxa" w:w="517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结合事件发生时点与适用对象，保留作废原因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交接</w:t>
            </w:r>
          </w:p>
        </w:tc>
        <w:tc>
          <w:tcPr>
            <w:tcW w:type="dxa" w:w="380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草稿／已提交／有异议／接收已确认</w:t>
            </w:r>
          </w:p>
        </w:tc>
        <w:tc>
          <w:tcPr>
            <w:tcW w:type="dxa" w:w="517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接收方确认前不写成已交接完成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380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待处理／处理中／待复核／已复核</w:t>
            </w:r>
          </w:p>
        </w:tc>
        <w:tc>
          <w:tcPr>
            <w:tcW w:type="dxa" w:w="517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责任、接受情况、期限独立留痕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复核</w:t>
            </w:r>
          </w:p>
        </w:tc>
        <w:tc>
          <w:tcPr>
            <w:tcW w:type="dxa" w:w="3802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未复核／需修正／待核查／通过</w:t>
            </w:r>
          </w:p>
        </w:tc>
        <w:tc>
          <w:tcPr>
            <w:tcW w:type="dxa" w:w="517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只有授权人能形成正式结论</w:t>
            </w:r>
          </w:p>
        </w:tc>
      </w:tr>
    </w:tbl>
    <w:p>
      <w:pPr>
        <w:spacing w:after="0"/>
      </w:pPr>
    </w:p>
    <w:p>
      <w:r>
        <w:t>建议闭环前核实：适用版本、当班关键字段、接收意见、所需质量复核、阻断异常处置及来源确认链。携带非阻断未结项另行跟踪的规则须事先约定。</w:t>
      </w:r>
    </w:p>
    <w:p>
      <w:pPr>
        <w:pStyle w:val="Heading1"/>
        <w:pageBreakBefore/>
      </w:pPr>
      <w:r>
        <w:t>10 痛点分析 版本与数据</w:t>
      </w:r>
    </w:p>
    <w:p>
      <w:pPr>
        <w:pStyle w:val="Heading2"/>
      </w:pPr>
      <w:r>
        <w:t>P01 版本依据与培训覆盖脱节</w:t>
      </w:r>
    </w:p>
    <w:p>
      <w:r>
        <w:rPr>
          <w:b/>
        </w:rPr>
        <w:t xml:space="preserve">现象与依据  </w:t>
      </w:r>
      <w:r>
        <w:t>F10、F11、F24。培训记录和工序指引存在版本不一致；模拟夜班使用旧清单，漏记新增复核项。</w:t>
      </w:r>
    </w:p>
    <w:p>
      <w:r>
        <w:rPr>
          <w:b/>
        </w:rPr>
        <w:t xml:space="preserve">原因假设  </w:t>
      </w:r>
      <w:r>
        <w:t>版本有效期、确认状态、适用对象与培训覆盖没有在交接时统一核对，是待验证的原因假设。不能把所有旧培训版本自动判定为无效。</w:t>
      </w:r>
    </w:p>
    <w:p>
      <w:r>
        <w:rPr>
          <w:b/>
        </w:rPr>
        <w:t xml:space="preserve">影响  </w:t>
      </w:r>
      <w:r>
        <w:t>人员可能按旧检查项处理，质量方反复回查，且难以还原当时应遵循的依据。</w:t>
      </w:r>
    </w:p>
    <w:p>
      <w:r>
        <w:rPr>
          <w:b/>
        </w:rPr>
        <w:t xml:space="preserve">验证办法  </w:t>
      </w:r>
      <w:r>
        <w:t>抽取一次正常变更及夜班异常，逐条还原事件时点、有效指引及培训覆盖证据。</w:t>
      </w:r>
    </w:p>
    <w:p>
      <w:r>
        <w:rPr>
          <w:b/>
        </w:rPr>
        <w:t xml:space="preserve">解决位置  </w:t>
      </w:r>
      <w:r>
        <w:t>T02 T03 T06 T09；规则校验适用性，AI 提取和比对差异，人判断补训与版本争议。</w:t>
      </w:r>
    </w:p>
    <w:p>
      <w:pPr>
        <w:pStyle w:val="Heading2"/>
      </w:pPr>
      <w:r>
        <w:t>P02 资料分散且缺少统一关联</w:t>
      </w:r>
    </w:p>
    <w:p>
      <w:r>
        <w:rPr>
          <w:b/>
        </w:rPr>
        <w:t xml:space="preserve">现象与依据  </w:t>
      </w:r>
      <w:r>
        <w:t>F30、F31、F33。服务台、业务台账、文件库三类工具未统一关联编号；还需检查重复编号、空时间、版本断链与单位差异等风险。</w:t>
      </w:r>
    </w:p>
    <w:p>
      <w:r>
        <w:rPr>
          <w:b/>
        </w:rPr>
        <w:t xml:space="preserve">原因假设  </w:t>
      </w:r>
      <w:r>
        <w:t>多个记录缺少一致的业务身份及字段契约，导致人工按文本猜对应关系。</w:t>
      </w:r>
    </w:p>
    <w:p>
      <w:r>
        <w:rPr>
          <w:b/>
        </w:rPr>
        <w:t xml:space="preserve">影响  </w:t>
      </w:r>
      <w:r>
        <w:t>关联错误会把正确材料贴到错误交接包，进一步污染缺项判断、复核与归责。</w:t>
      </w:r>
    </w:p>
    <w:p>
      <w:r>
        <w:rPr>
          <w:b/>
        </w:rPr>
        <w:t xml:space="preserve">验证办法  </w:t>
      </w:r>
      <w:r>
        <w:t>将一个批次的原行与文件人工配对，记录歧义及无法匹配比例；先验证关联键再做模型推荐。</w:t>
      </w:r>
    </w:p>
    <w:p>
      <w:r>
        <w:rPr>
          <w:b/>
        </w:rPr>
        <w:t xml:space="preserve">解决位置  </w:t>
      </w:r>
      <w:r>
        <w:t>T02 T05 T09；确定性键优先，AI 只提出候选关联，歧义交人，不自动合并原件。</w:t>
      </w:r>
    </w:p>
    <w:p>
      <w:pPr>
        <w:pStyle w:val="Heading2"/>
      </w:pPr>
      <w:r>
        <w:t>P03 补填时间与业务发生时间混淆</w:t>
      </w:r>
    </w:p>
    <w:p>
      <w:r>
        <w:rPr>
          <w:b/>
        </w:rPr>
        <w:t xml:space="preserve">现象与依据  </w:t>
      </w:r>
      <w:r>
        <w:t>F13、F34。现场先在群内处理问题，再补填表格；数据需保留两个时间。</w:t>
      </w:r>
    </w:p>
    <w:p>
      <w:r>
        <w:rPr>
          <w:b/>
        </w:rPr>
        <w:t xml:space="preserve">原因假设  </w:t>
      </w:r>
      <w:r>
        <w:t>表格可能只有一个时间字段，无法区分实际事件、提交、读取与确认时点。</w:t>
      </w:r>
    </w:p>
    <w:p>
      <w:r>
        <w:rPr>
          <w:b/>
        </w:rPr>
        <w:t xml:space="preserve">影响  </w:t>
      </w:r>
      <w:r>
        <w:t>用补填时间判断版本有效性或责任可能出错，迟到旧数据还可能覆盖新确认记录。</w:t>
      </w:r>
    </w:p>
    <w:p>
      <w:r>
        <w:rPr>
          <w:b/>
        </w:rPr>
        <w:t xml:space="preserve">验证办法  </w:t>
      </w:r>
      <w:r>
        <w:t>对照群消息、表格及版本有效期，检查每条时间的含义和时区；未知时间保留未知。</w:t>
      </w:r>
    </w:p>
    <w:p>
      <w:r>
        <w:rPr>
          <w:b/>
        </w:rPr>
        <w:t xml:space="preserve">解决位置  </w:t>
      </w:r>
      <w:r>
        <w:t>T07 T09；规则保留双时间及版本顺序，AI 提取带来源的时间候选，人澄清缺失信息。</w:t>
      </w:r>
    </w:p>
    <w:p>
      <w:pPr>
        <w:pStyle w:val="Heading1"/>
        <w:pageBreakBefore/>
      </w:pPr>
      <w:r>
        <w:t>11 痛点分析 状态责任与协作</w:t>
      </w:r>
    </w:p>
    <w:p>
      <w:pPr>
        <w:pStyle w:val="Heading2"/>
      </w:pPr>
      <w:r>
        <w:t>P04 已完成掩盖不同业务状态</w:t>
      </w:r>
    </w:p>
    <w:p>
      <w:r>
        <w:rPr>
          <w:b/>
        </w:rPr>
        <w:t xml:space="preserve">现象与依据  </w:t>
      </w:r>
      <w:r>
        <w:t>F10、F23、F25。交接单只写“已完成”或群内“已处理”，未结项不能单方转给对方。</w:t>
      </w:r>
    </w:p>
    <w:p>
      <w:r>
        <w:rPr>
          <w:b/>
        </w:rPr>
        <w:t xml:space="preserve">原因假设  </w:t>
      </w:r>
      <w:r>
        <w:t>提交、接收、复核与责任接受缺乏独立记录，是流程假设。</w:t>
      </w:r>
    </w:p>
    <w:p>
      <w:r>
        <w:rPr>
          <w:b/>
        </w:rPr>
        <w:t xml:space="preserve">影响  </w:t>
      </w:r>
      <w:r>
        <w:t>实际无人复核或接责，却可能被汇总为完成；后续争议缺少明确依据。</w:t>
      </w:r>
    </w:p>
    <w:p>
      <w:r>
        <w:rPr>
          <w:b/>
        </w:rPr>
        <w:t xml:space="preserve">验证办法  </w:t>
      </w:r>
      <w:r>
        <w:t>从“已完成”样本逆查提交、接收、复核、责任接受四条证据，看哪一步缺失。</w:t>
      </w:r>
    </w:p>
    <w:p>
      <w:r>
        <w:rPr>
          <w:b/>
        </w:rPr>
        <w:t xml:space="preserve">解决位置  </w:t>
      </w:r>
      <w:r>
        <w:t>T05 T08 T13 T14；先细分状态与责任规则，再用 AI 汇总未确认事项。</w:t>
      </w:r>
    </w:p>
    <w:p>
      <w:pPr>
        <w:pStyle w:val="Heading2"/>
      </w:pPr>
      <w:r>
        <w:t>P05 重复核对负担与泛化摘要无助现场</w:t>
      </w:r>
    </w:p>
    <w:p>
      <w:r>
        <w:rPr>
          <w:b/>
        </w:rPr>
        <w:t xml:space="preserve">现象与依据  </w:t>
      </w:r>
      <w:r>
        <w:t>F00、F15。目标是减少重复核对；现场要一页缺项清单和来源位置。F12 的回查工时仅是虚构基线。</w:t>
      </w:r>
    </w:p>
    <w:p>
      <w:r>
        <w:rPr>
          <w:b/>
        </w:rPr>
        <w:t xml:space="preserve">原因假设  </w:t>
      </w:r>
      <w:r>
        <w:t>材料检索与证据比对没有聚焦到每次交接的具体问题。</w:t>
      </w:r>
    </w:p>
    <w:p>
      <w:r>
        <w:rPr>
          <w:b/>
        </w:rPr>
        <w:t xml:space="preserve">影响  </w:t>
      </w:r>
      <w:r>
        <w:t>业务骨干重复找资料，长摘要仍需要二次定位，可能增加核查成本。</w:t>
      </w:r>
    </w:p>
    <w:p>
      <w:r>
        <w:rPr>
          <w:b/>
        </w:rPr>
        <w:t xml:space="preserve">验证办法  </w:t>
      </w:r>
      <w:r>
        <w:t>实测找资料、逐项比对、确认 AI 输出、纠错各项耗时，不用模拟六小时承诺收益。</w:t>
      </w:r>
    </w:p>
    <w:p>
      <w:r>
        <w:rPr>
          <w:b/>
        </w:rPr>
        <w:t xml:space="preserve">解决位置  </w:t>
      </w:r>
      <w:r>
        <w:t>T02 T06 T09；AI 提供短清单、差异和证据定位，人逐项确认。</w:t>
      </w:r>
    </w:p>
    <w:p>
      <w:pPr>
        <w:pStyle w:val="Heading2"/>
      </w:pPr>
      <w:r>
        <w:t>P06 交接速度与质量窗口冲突</w:t>
      </w:r>
    </w:p>
    <w:p>
      <w:r>
        <w:rPr>
          <w:b/>
        </w:rPr>
        <w:t xml:space="preserve">现象与依据  </w:t>
      </w:r>
      <w:r>
        <w:t>F50、F51、F55。生产协调看速度，质量需要异常复核窗口；效果需同时看工时、返工和确认完整率。</w:t>
      </w:r>
    </w:p>
    <w:p>
      <w:r>
        <w:rPr>
          <w:b/>
        </w:rPr>
        <w:t xml:space="preserve">原因假设  </w:t>
      </w:r>
      <w:r>
        <w:t>缺少双方认可的截止时间、复核容量与综合指标，是待验证假设。</w:t>
      </w:r>
    </w:p>
    <w:p>
      <w:r>
        <w:rPr>
          <w:b/>
        </w:rPr>
        <w:t xml:space="preserve">影响  </w:t>
      </w:r>
      <w:r>
        <w:t>只追求速度可能积压未结异常；只改模板又不能证明实际改善。</w:t>
      </w:r>
    </w:p>
    <w:p>
      <w:r>
        <w:rPr>
          <w:b/>
        </w:rPr>
        <w:t xml:space="preserve">验证办法  </w:t>
      </w:r>
      <w:r>
        <w:t>统计排队时间与实际处理时间、超期原因、返工及遗漏，周度共同复盘。</w:t>
      </w:r>
    </w:p>
    <w:p>
      <w:r>
        <w:rPr>
          <w:b/>
        </w:rPr>
        <w:t xml:space="preserve">解决位置  </w:t>
      </w:r>
      <w:r>
        <w:t>T08 T09 T12；AI 辅助分类与汇总，业务人员决定优先级，管理者安排资源。</w:t>
      </w:r>
    </w:p>
    <w:p>
      <w:pPr>
        <w:pStyle w:val="Heading2"/>
      </w:pPr>
      <w:r>
        <w:t>P07 来源失效与结果无法追溯</w:t>
      </w:r>
    </w:p>
    <w:p>
      <w:r>
        <w:rPr>
          <w:b/>
        </w:rPr>
        <w:t xml:space="preserve">现象与依据  </w:t>
      </w:r>
      <w:r>
        <w:t>F35、F40–F45。读取失败须保留带时间快照；正式结论必须有来源与人工记录。</w:t>
      </w:r>
    </w:p>
    <w:p>
      <w:r>
        <w:rPr>
          <w:b/>
        </w:rPr>
        <w:t xml:space="preserve">原因假设  </w:t>
      </w:r>
      <w:r>
        <w:t>输出若不绑定读取批次与确认版本，人员容易把旧快照当最新结果。</w:t>
      </w:r>
    </w:p>
    <w:p>
      <w:r>
        <w:rPr>
          <w:b/>
        </w:rPr>
        <w:t xml:space="preserve">影响  </w:t>
      </w:r>
      <w:r>
        <w:t>错误建议可能传播，复盘时无法说明谁使用了什么依据。</w:t>
      </w:r>
    </w:p>
    <w:p>
      <w:r>
        <w:rPr>
          <w:b/>
        </w:rPr>
        <w:t xml:space="preserve">验证办法  </w:t>
      </w:r>
      <w:r>
        <w:t>注入读取失败、迟到旧记录与无源结论，检查是否明确标为不可判定。</w:t>
      </w:r>
    </w:p>
    <w:p>
      <w:r>
        <w:rPr>
          <w:b/>
        </w:rPr>
        <w:t xml:space="preserve">解决位置  </w:t>
      </w:r>
      <w:r>
        <w:t>全流程；技术校验与审计为主，AI 不编造状态，人工恢复核查。</w:t>
      </w:r>
    </w:p>
    <w:p>
      <w:pPr>
        <w:pStyle w:val="Heading1"/>
        <w:pageBreakBefore/>
      </w:pPr>
      <w:r>
        <w:t>12 AI 介入方式与系统边界</w:t>
      </w:r>
    </w:p>
    <w:p>
      <w:r>
        <w:t>建议交付“交接证据核对助手”。它嵌入 T02、T03、T06、T07 和 T09 的准备与复核环节，输出证据、差异和待确认项。流程的审批与接收权保持在人及现有业务系统中。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498"/>
        <w:gridCol w:w="4450"/>
        <w:gridCol w:w="4219"/>
      </w:tblGrid>
      <w:tr>
        <w:trPr>
          <w:tblHeader/>
          <w:cantSplit/>
        </w:trPr>
        <w:tc>
          <w:tcPr>
            <w:tcW w:type="dxa" w:w="1498"/>
            <w:vAlign w:val="center"/>
            <w:shd w:fill="DFEAF2"/>
          </w:tcPr>
          <w:p>
            <w:pPr>
              <w:spacing w:after="40" w:before="40" w:line="280" w:lineRule="exact"/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4450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4219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明确不承担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数据接入</w:t>
            </w:r>
          </w:p>
        </w:tc>
        <w:tc>
          <w:tcPr>
            <w:tcW w:type="dxa" w:w="445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授权范围内的脱敏只读导出；保存原行、来源、读取批次与时间</w:t>
            </w:r>
          </w:p>
        </w:tc>
        <w:tc>
          <w:tcPr>
            <w:tcW w:type="dxa" w:w="421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不读取超出授权的企业资料；不写回台账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确定性规则</w:t>
            </w:r>
          </w:p>
        </w:tc>
        <w:tc>
          <w:tcPr>
            <w:tcW w:type="dxa" w:w="445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检查关键字段、重复编号、时间、状态与已确认的版本有效规则</w:t>
            </w:r>
          </w:p>
        </w:tc>
        <w:tc>
          <w:tcPr>
            <w:tcW w:type="dxa" w:w="421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规则未确认时不自行生成业务标准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AI 分析</w:t>
            </w:r>
          </w:p>
        </w:tc>
        <w:tc>
          <w:tcPr>
            <w:tcW w:type="dxa" w:w="445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提取文本、定位证据、对比版本、归纳缺项与异常、提出关联候选</w:t>
            </w:r>
          </w:p>
        </w:tc>
        <w:tc>
          <w:tcPr>
            <w:tcW w:type="dxa" w:w="421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不自行确认有效版本、培训合格、责任或复核结论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人工决策</w:t>
            </w:r>
          </w:p>
        </w:tc>
        <w:tc>
          <w:tcPr>
            <w:tcW w:type="dxa" w:w="445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确认关联、适用性、修改、责任接受、复核及接收意见</w:t>
            </w:r>
          </w:p>
        </w:tc>
        <w:tc>
          <w:tcPr>
            <w:tcW w:type="dxa" w:w="421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不能用“模型已确认”替代署名与依据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追溯记录</w:t>
            </w:r>
          </w:p>
        </w:tc>
        <w:tc>
          <w:tcPr>
            <w:tcW w:type="dxa" w:w="445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保存输入快照、规则与模型版本、建议、人工采纳或驳回及来源</w:t>
            </w:r>
          </w:p>
        </w:tc>
        <w:tc>
          <w:tcPr>
            <w:tcW w:type="dxa" w:w="421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只留最终摘要不能满足审计需要</w:t>
            </w:r>
          </w:p>
        </w:tc>
      </w:tr>
    </w:tbl>
    <w:p>
      <w:pPr>
        <w:spacing w:after="0"/>
      </w:pPr>
    </w:p>
    <w:p>
      <w:pPr>
        <w:pStyle w:val="Heading2"/>
      </w:pPr>
      <w:r>
        <w:t>A01 资料提取与候选关联</w:t>
      </w:r>
    </w:p>
    <w:p>
      <w:r>
        <w:t>位置 T02／T05。输入为批准导出的培训清单、指引与异常日志。AI 提取岗位、工序、版本和来源位置；先按确定性字段关联，无法唯一对应的材料列为候选。输出字段值、原文片段、关联理由与不确定项，由现场或资料负责人确认。源文件含糊、格式不可读或候选冲突时保留“不可判定”。</w:t>
      </w:r>
    </w:p>
    <w:p>
      <w:pPr>
        <w:pStyle w:val="Heading2"/>
      </w:pPr>
      <w:r>
        <w:t>A02 版本差异与培训覆盖提示</w:t>
      </w:r>
    </w:p>
    <w:p>
      <w:r>
        <w:t>位置 T03／T09。规则提供已确认的版本时效和状态；AI 对比变更前后的检查项，定位新增、删除及修改内容，再匹配培训记录中的覆盖证据。输出“需人工检查的差异”，由业务与质量人员判断是否适用、是否补训。历史记录的有效性和生产资格不能由模型裁定。</w:t>
      </w:r>
    </w:p>
    <w:p>
      <w:pPr>
        <w:pStyle w:val="Heading2"/>
      </w:pPr>
      <w:r>
        <w:t>A03 一页缺项清单</w:t>
      </w:r>
    </w:p>
    <w:p>
      <w:r>
        <w:t>位置 T06／T09。按单个交接包输出缺失、未确认、冲突及旧快照四类问题，每条包含影响节点、源位置、建议核实动作和待确认角色。清单优先显示阻断候选，区分已有事实与建议；严重性最终按质量方确认规则标注。</w:t>
      </w:r>
    </w:p>
    <w:p>
      <w:pPr>
        <w:spacing w:after="160"/>
      </w:pPr>
      <w:r>
        <w:rPr>
          <w:color w:val="555555"/>
          <w:sz w:val="18"/>
        </w:rPr>
        <w:t>以上 A01–A03 均为设计建议；依赖来源、字段契约与权限先行。原始业务数据不作为自动训练材料，任何新增用途需另行确认。</w:t>
      </w:r>
    </w:p>
    <w:p>
      <w:pPr>
        <w:pStyle w:val="Heading1"/>
        <w:pageBreakBefore/>
      </w:pPr>
      <w:r>
        <w:t>13 AI 输出示例与人工闭环</w:t>
      </w:r>
    </w:p>
    <w:p>
      <w:pPr>
        <w:pStyle w:val="Heading2"/>
      </w:pPr>
      <w:r>
        <w:t>一个旧清单事件如何被辅助发现</w:t>
      </w:r>
    </w:p>
    <w:p>
      <w:r>
        <w:t>以下是依据 F11 编写的示意过程，版本号与日期使用占位符，未伪造真实数据。输入包括“指引新版本”“旧清单”“培训记录”“本次交接记录”；没有证据的字段必须显示未知。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829"/>
        <w:gridCol w:w="8338"/>
      </w:tblGrid>
      <w:tr>
        <w:trPr>
          <w:tblHeader/>
          <w:cantSplit/>
        </w:trPr>
        <w:tc>
          <w:tcPr>
            <w:tcW w:type="dxa" w:w="1829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清单字段</w:t>
            </w:r>
          </w:p>
        </w:tc>
        <w:tc>
          <w:tcPr>
            <w:tcW w:type="dxa" w:w="8338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示例输出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问题</w:t>
            </w:r>
          </w:p>
        </w:tc>
        <w:tc>
          <w:tcPr>
            <w:tcW w:type="dxa" w:w="833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旧清单疑似未包含新版本新增的检查项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证据</w:t>
            </w:r>
          </w:p>
        </w:tc>
        <w:tc>
          <w:tcPr>
            <w:tcW w:type="dxa" w:w="833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指引新版本对应条款位置；旧清单对应行；培训记录覆盖位置或缺失说明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已知与未知</w:t>
            </w:r>
          </w:p>
        </w:tc>
        <w:tc>
          <w:tcPr>
            <w:tcW w:type="dxa" w:w="833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已知清单内容有差异；未知新版本是否适用于本次事件，以及培训是否通过其他材料覆盖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建议动作</w:t>
            </w:r>
          </w:p>
        </w:tc>
        <w:tc>
          <w:tcPr>
            <w:tcW w:type="dxa" w:w="833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现场补充事件时间及所用版本；资料责任方确认适用性；质量人员判断遗漏影响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状态</w:t>
            </w:r>
          </w:p>
        </w:tc>
        <w:tc>
          <w:tcPr>
            <w:tcW w:type="dxa" w:w="833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待人工核查；不得自动标记通过、自动补写复核或确定责任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处理回执</w:t>
            </w:r>
          </w:p>
        </w:tc>
        <w:tc>
          <w:tcPr>
            <w:tcW w:type="dxa" w:w="833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人工确认差异或驳回误报，填写依据；有修订按 T10 → T11 → T05 重走核对</w:t>
            </w:r>
          </w:p>
        </w:tc>
      </w:tr>
    </w:tbl>
    <w:p>
      <w:pPr>
        <w:spacing w:after="0"/>
      </w:pPr>
    </w:p>
    <w:p>
      <w:pPr>
        <w:pStyle w:val="Heading2"/>
      </w:pPr>
      <w:r>
        <w:t>A04 异常记录整理与归类</w:t>
      </w:r>
    </w:p>
    <w:p>
      <w:r>
        <w:t>位置 T07／T08。AI 根据已授权导出的文字整理原始问题、节点、影响对象、相关版本及恢复需求，提供分类和跟进角色候选。对缺失时间、含糊表述及责任争议明确提问，协调员确认后在原渠道登记；助手不直接发消息、分配任务或转移责任。</w:t>
      </w:r>
    </w:p>
    <w:p>
      <w:pPr>
        <w:pStyle w:val="Heading2"/>
      </w:pPr>
      <w:r>
        <w:t>A05 复核证据包与审计索引</w:t>
      </w:r>
    </w:p>
    <w:p>
      <w:r>
        <w:t>位置 T09／T14。将来源、差异、处置、变更确认和接收意见按交接包聚合，输出可回查的证据索引。质量人员作正式判断；人工在原系统完成确认后，再导出确认记录关联回来。没有读取到确认回执时，助手仍显示“未取得确认记录”。</w:t>
      </w:r>
    </w:p>
    <w:p>
      <w:pPr>
        <w:pStyle w:val="Heading2"/>
      </w:pPr>
      <w:r>
        <w:t>A06 周度效果复盘</w:t>
      </w:r>
    </w:p>
    <w:p>
      <w:r>
        <w:t>位置为试点管理流程，不改变日常 BPMN。汇总误报、漏报、未确认项、返工及人工工时，提出优先改进的问题类型。业务、质量和客户共同核验原因；不以模型总结替代样本检查，不只改模板就宣布试点成功。</w:t>
      </w:r>
    </w:p>
    <w:p>
      <w:pPr>
        <w:spacing w:after="160"/>
      </w:pPr>
      <w:r>
        <w:rPr>
          <w:color w:val="555555"/>
          <w:sz w:val="18"/>
        </w:rPr>
        <w:t>首期可以只完成 A01–A03 的一个批次闭环。A04–A06 在相同只读权限内按能力与工时再扩展，不能据此假设已经获得新接口授权。</w:t>
      </w:r>
    </w:p>
    <w:p>
      <w:pPr>
        <w:pStyle w:val="Heading1"/>
        <w:pageBreakBefore/>
      </w:pPr>
      <w:r>
        <w:t>14 验收指标与验证场景</w:t>
      </w:r>
    </w:p>
    <w:p>
      <w:r>
        <w:t>案例提出的演练目标为 50 次交接全部匹配指引版本，未复核异常保留责任人与状态，每条结果关联来源和人工复核记录。这是待落地的试点目标，不是已经发生的结果。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28"/>
        <w:gridCol w:w="4810"/>
        <w:gridCol w:w="3629"/>
      </w:tblGrid>
      <w:tr>
        <w:trPr>
          <w:tblHeader/>
          <w:cantSplit/>
        </w:trPr>
        <w:tc>
          <w:tcPr>
            <w:tcW w:type="dxa" w:w="1728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4810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建议统计口径</w:t>
            </w:r>
          </w:p>
        </w:tc>
        <w:tc>
          <w:tcPr>
            <w:tcW w:type="dxa" w:w="3629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通过原则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版本匹配</w:t>
            </w:r>
          </w:p>
        </w:tc>
        <w:tc>
          <w:tcPr>
            <w:tcW w:type="dxa" w:w="48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适用版本经人工确认且匹配的交接数 ÷ 预先纳入的 50 次交接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目标 50／50；无法判定计入分母，不剔除失败样本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未结项可追责</w:t>
            </w:r>
          </w:p>
        </w:tc>
        <w:tc>
          <w:tcPr>
            <w:tcW w:type="dxa" w:w="48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具备责任人和状态的未复核异常数 ÷ 全部未复核异常数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案例要求全部覆盖；责任是否接受另列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确认完整率</w:t>
            </w:r>
          </w:p>
        </w:tc>
        <w:tc>
          <w:tcPr>
            <w:tcW w:type="dxa" w:w="48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完成全部必需人工确认的交接数 ÷ 预先纳入的交接数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未确认也计入分母；必需确认清单及目标待定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证据与确认完整</w:t>
            </w:r>
          </w:p>
        </w:tc>
        <w:tc>
          <w:tcPr>
            <w:tcW w:type="dxa" w:w="48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具备来源及人工复核记录的结果数 ÷ 所有纳入评估的正式结果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案例要求全部覆盖；建议与正式结果分列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总人工耗时</w:t>
            </w:r>
          </w:p>
        </w:tc>
        <w:tc>
          <w:tcPr>
            <w:tcW w:type="dxa" w:w="48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查找、比对、确认、复核 AI 输出及纠错的总分钟数／交接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与可比人工基线比较；节约阈值待定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返工与等待</w:t>
            </w:r>
          </w:p>
        </w:tc>
        <w:tc>
          <w:tcPr>
            <w:tcW w:type="dxa" w:w="48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每单重新提交次数；从提交到确认的等待时长分位数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单独统计主动处理与排队；目标待双方确认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误报与漏报</w:t>
            </w:r>
          </w:p>
        </w:tc>
        <w:tc>
          <w:tcPr>
            <w:tcW w:type="dxa" w:w="48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误报／全部提示；漏报／人工标注真实问题</w:t>
            </w:r>
          </w:p>
        </w:tc>
        <w:tc>
          <w:tcPr>
            <w:tcW w:type="dxa" w:w="3629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必须有人标注的对照集；按问题严重性分层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010"/>
        <w:gridCol w:w="7157"/>
      </w:tblGrid>
      <w:tr>
        <w:trPr>
          <w:tblHeader/>
          <w:cantSplit/>
        </w:trPr>
        <w:tc>
          <w:tcPr>
            <w:tcW w:type="dxa" w:w="3010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157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必须观察到的结果</w:t>
            </w:r>
          </w:p>
        </w:tc>
      </w:tr>
      <w:tr>
        <w:trPr>
          <w:cantSplit/>
        </w:trPr>
        <w:tc>
          <w:tcPr>
            <w:tcW w:type="dxa" w:w="30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正常交接</w:t>
            </w:r>
          </w:p>
        </w:tc>
        <w:tc>
          <w:tcPr>
            <w:tcW w:type="dxa" w:w="715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来源和版本可核实；人确认后才形成正式结论</w:t>
            </w:r>
          </w:p>
        </w:tc>
      </w:tr>
      <w:tr>
        <w:trPr>
          <w:cantSplit/>
        </w:trPr>
        <w:tc>
          <w:tcPr>
            <w:tcW w:type="dxa" w:w="30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新旧版本及夜班旧清单</w:t>
            </w:r>
          </w:p>
        </w:tc>
        <w:tc>
          <w:tcPr>
            <w:tcW w:type="dxa" w:w="715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定位具体变化及证据；不把“历史旧版”一律判错</w:t>
            </w:r>
          </w:p>
        </w:tc>
      </w:tr>
      <w:tr>
        <w:trPr>
          <w:cantSplit/>
        </w:trPr>
        <w:tc>
          <w:tcPr>
            <w:tcW w:type="dxa" w:w="30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缺失与未确认并存</w:t>
            </w:r>
          </w:p>
        </w:tc>
        <w:tc>
          <w:tcPr>
            <w:tcW w:type="dxa" w:w="715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清单分开显示，两类都不能自动通过</w:t>
            </w:r>
          </w:p>
        </w:tc>
      </w:tr>
      <w:tr>
        <w:trPr>
          <w:cantSplit/>
        </w:trPr>
        <w:tc>
          <w:tcPr>
            <w:tcW w:type="dxa" w:w="30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重复编号或错误候选关联</w:t>
            </w:r>
          </w:p>
        </w:tc>
        <w:tc>
          <w:tcPr>
            <w:tcW w:type="dxa" w:w="715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保留原行与歧义，要求人工匹配</w:t>
            </w:r>
          </w:p>
        </w:tc>
      </w:tr>
      <w:tr>
        <w:trPr>
          <w:cantSplit/>
        </w:trPr>
        <w:tc>
          <w:tcPr>
            <w:tcW w:type="dxa" w:w="30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群消息晚补填或迟到旧数据</w:t>
            </w:r>
          </w:p>
        </w:tc>
        <w:tc>
          <w:tcPr>
            <w:tcW w:type="dxa" w:w="715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发生时间与接收时间分开；旧来源不覆盖新确认</w:t>
            </w:r>
          </w:p>
        </w:tc>
      </w:tr>
      <w:tr>
        <w:trPr>
          <w:cantSplit/>
        </w:trPr>
        <w:tc>
          <w:tcPr>
            <w:tcW w:type="dxa" w:w="30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读取失败及来源失效</w:t>
            </w:r>
          </w:p>
        </w:tc>
        <w:tc>
          <w:tcPr>
            <w:tcW w:type="dxa" w:w="715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保留快照时间并提示不可判定，进入人工核查</w:t>
            </w:r>
          </w:p>
        </w:tc>
      </w:tr>
      <w:tr>
        <w:trPr>
          <w:cantSplit/>
        </w:trPr>
        <w:tc>
          <w:tcPr>
            <w:tcW w:type="dxa" w:w="30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跨团队异议或投诉</w:t>
            </w:r>
          </w:p>
        </w:tc>
        <w:tc>
          <w:tcPr>
            <w:tcW w:type="dxa" w:w="715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记录原始问题，保留责任争议；不自动转责</w:t>
            </w:r>
          </w:p>
        </w:tc>
      </w:tr>
      <w:tr>
        <w:trPr>
          <w:cantSplit/>
        </w:trPr>
        <w:tc>
          <w:tcPr>
            <w:tcW w:type="dxa" w:w="301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修正后的再次交接</w:t>
            </w:r>
          </w:p>
        </w:tc>
        <w:tc>
          <w:tcPr>
            <w:tcW w:type="dxa" w:w="715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新旧版本、确认人和重新复核记录均可追溯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color w:val="555555"/>
          <w:sz w:val="18"/>
        </w:rPr>
        <w:t>50 次样本如何分层、何时开始计数、是否含回归案例须事先冻结。建议覆盖班次、版本变更和异常类型；无真实授权数据时，只能报告演练验证。</w:t>
      </w:r>
    </w:p>
    <w:p>
      <w:pPr>
        <w:pStyle w:val="Heading1"/>
        <w:pageBreakBefore/>
      </w:pPr>
      <w:r>
        <w:t>15 四周试点与投入安排</w:t>
      </w:r>
    </w:p>
    <w:p>
      <w:r>
        <w:t>已知约束为一个批次、四周、两名业务骨干参与、每周投入不超过四小时；四小时按个人还是合计尚未明确。该额度只说明业务参与限制，不能代表开发预算、接口费用或模型费用已获批准。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094"/>
        <w:gridCol w:w="3226"/>
        <w:gridCol w:w="3197"/>
        <w:gridCol w:w="2650"/>
      </w:tblGrid>
      <w:tr>
        <w:trPr>
          <w:tblHeader/>
          <w:cantSplit/>
        </w:trPr>
        <w:tc>
          <w:tcPr>
            <w:tcW w:type="dxa" w:w="1094"/>
            <w:vAlign w:val="center"/>
            <w:shd w:fill="DFEAF2"/>
          </w:tcPr>
          <w:p>
            <w:pPr>
              <w:spacing w:after="40" w:before="40" w:line="280" w:lineRule="exact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226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主要工作</w:t>
            </w:r>
          </w:p>
        </w:tc>
        <w:tc>
          <w:tcPr>
            <w:tcW w:type="dxa" w:w="3197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可评审交付</w:t>
            </w:r>
          </w:p>
        </w:tc>
        <w:tc>
          <w:tcPr>
            <w:tcW w:type="dxa" w:w="2650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退出条件</w:t>
            </w:r>
          </w:p>
        </w:tc>
      </w:tr>
      <w:tr>
        <w:trPr>
          <w:cantSplit/>
        </w:trPr>
        <w:tc>
          <w:tcPr>
            <w:tcW w:type="dxa" w:w="1094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第 1 周</w:t>
            </w:r>
          </w:p>
        </w:tc>
        <w:tc>
          <w:tcPr>
            <w:tcW w:type="dxa" w:w="322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核验真实流程与材料授权；确认范围、规则、字段、责任；采集人工基线</w:t>
            </w:r>
          </w:p>
        </w:tc>
        <w:tc>
          <w:tcPr>
            <w:tcW w:type="dxa" w:w="319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确认清单、样本口径、字段映射、标注基准</w:t>
            </w:r>
          </w:p>
        </w:tc>
        <w:tc>
          <w:tcPr>
            <w:tcW w:type="dxa" w:w="265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权威来源、权限、范围或关联键未明确则暂不进入真实数据试点</w:t>
            </w:r>
          </w:p>
        </w:tc>
      </w:tr>
      <w:tr>
        <w:trPr>
          <w:cantSplit/>
        </w:trPr>
        <w:tc>
          <w:tcPr>
            <w:tcW w:type="dxa" w:w="1094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第 2 周</w:t>
            </w:r>
          </w:p>
        </w:tc>
        <w:tc>
          <w:tcPr>
            <w:tcW w:type="dxa" w:w="322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制作只读快照与证据关联；验证抽取、规则、差异和缺项清单</w:t>
            </w:r>
          </w:p>
        </w:tc>
        <w:tc>
          <w:tcPr>
            <w:tcW w:type="dxa" w:w="319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A01–A03 单批次样例及误差清单</w:t>
            </w:r>
          </w:p>
        </w:tc>
        <w:tc>
          <w:tcPr>
            <w:tcW w:type="dxa" w:w="265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来源无法定位或出现错误关联时先修复</w:t>
            </w:r>
          </w:p>
        </w:tc>
      </w:tr>
      <w:tr>
        <w:trPr>
          <w:cantSplit/>
        </w:trPr>
        <w:tc>
          <w:tcPr>
            <w:tcW w:type="dxa" w:w="1094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第 3 周</w:t>
            </w:r>
          </w:p>
        </w:tc>
        <w:tc>
          <w:tcPr>
            <w:tcW w:type="dxa" w:w="322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在原有人工流程旁运行；逐项核验建议；记录返工、误报、漏报和耗时</w:t>
            </w:r>
          </w:p>
        </w:tc>
        <w:tc>
          <w:tcPr>
            <w:tcW w:type="dxa" w:w="319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每单人工回执、待核查队列、周度复盘</w:t>
            </w:r>
          </w:p>
        </w:tc>
        <w:tc>
          <w:tcPr>
            <w:tcW w:type="dxa" w:w="265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出现越权或影响正式结论的误导时暂停评估并人工接管</w:t>
            </w:r>
          </w:p>
        </w:tc>
      </w:tr>
      <w:tr>
        <w:trPr>
          <w:cantSplit/>
        </w:trPr>
        <w:tc>
          <w:tcPr>
            <w:tcW w:type="dxa" w:w="1094"/>
            <w:vAlign w:val="center"/>
          </w:tcPr>
          <w:p>
            <w:pPr>
              <w:spacing w:after="40" w:before="40" w:line="280" w:lineRule="exact"/>
              <w:jc w:val="center"/>
            </w:pPr>
            <w:r>
              <w:rPr>
                <w:b w:val="0"/>
                <w:sz w:val="20"/>
              </w:rPr>
              <w:t>第 4 周</w:t>
            </w:r>
          </w:p>
        </w:tc>
        <w:tc>
          <w:tcPr>
            <w:tcW w:type="dxa" w:w="322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完成约定样本；联合回查；核算净工时与质量；确认保留及删除动作</w:t>
            </w:r>
          </w:p>
        </w:tc>
        <w:tc>
          <w:tcPr>
            <w:tcW w:type="dxa" w:w="3197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验收记录、未决问题、继续／收缩／停止建议</w:t>
            </w:r>
          </w:p>
        </w:tc>
        <w:tc>
          <w:tcPr>
            <w:tcW w:type="dxa" w:w="2650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未达到质量要求或证据不完整不宣布验收通过</w:t>
            </w:r>
          </w:p>
        </w:tc>
      </w:tr>
    </w:tbl>
    <w:p>
      <w:pPr>
        <w:spacing w:after="0"/>
      </w:pPr>
    </w:p>
    <w:p>
      <w:pPr>
        <w:pStyle w:val="Heading2"/>
      </w:pPr>
      <w:r>
        <w:t>实施顺序与责任建议</w:t>
      </w:r>
    </w:p>
    <w:p>
      <w:r>
        <w:t>业务负责人先确认一个批次及用途；协调员组织现有模板和交接样本；数据人员落实只读脱敏范围；质量负责人确认判定与人工兜底；客户代表确认结果口径。具体岗位指派和责任签认均需落到真实项目，不以虚拟角色访谈代替授权。</w:t>
      </w:r>
    </w:p>
    <w:p>
      <w:r>
        <w:t>先完成字段、版本和状态规则，再做 AI 提取与清单。没有唯一关联编号时，可在辅助工作区维护只读映射表并由人确认，不向源系统偷偷补写编号。若后续确需写回、自动催办或执行动作，应作为新增范围重新评审。</w:t>
      </w:r>
    </w:p>
    <w:p>
      <w:pPr>
        <w:pStyle w:val="Heading2"/>
      </w:pPr>
      <w:r>
        <w:t>效果与成本应一起测量</w:t>
      </w:r>
    </w:p>
    <w:p>
      <w:r>
        <w:t>净节约工时＝可比人工基线总工时－辅助方案总人工工时，后者包含复核模型输出和纠错。成本另计模型调用、导出维护、规则维护、标注和上线支持。四条作业线、160 次交接、回查六小时仅为虚构演练数据，不据此计算真实 ROI 或承诺收益。</w:t>
      </w:r>
    </w:p>
    <w:p>
      <w:pPr>
        <w:spacing w:after="160"/>
      </w:pPr>
      <w:r>
        <w:rPr>
          <w:color w:val="555555"/>
          <w:sz w:val="18"/>
        </w:rPr>
        <w:t>时间安排为 A 建议，投入边界源于 F03。质量暂停与恢复的具体阈值及决定人须在第 1 周明确，不能把本表当已批准排期。</w:t>
      </w:r>
    </w:p>
    <w:p>
      <w:pPr>
        <w:pStyle w:val="Heading1"/>
        <w:pageBreakBefore/>
      </w:pPr>
      <w:r>
        <w:t>16 待确认事项与评审清单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974"/>
        <w:gridCol w:w="2376"/>
        <w:gridCol w:w="3816"/>
      </w:tblGrid>
      <w:tr>
        <w:trPr>
          <w:tblHeader/>
          <w:cantSplit/>
        </w:trPr>
        <w:tc>
          <w:tcPr>
            <w:tcW w:type="dxa" w:w="3974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376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建议确认角色</w:t>
            </w:r>
          </w:p>
        </w:tc>
        <w:tc>
          <w:tcPr>
            <w:tcW w:type="dxa" w:w="3816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影响与验证材料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U01 具体岗位 工序 班次及批次边界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业务负责人、客户代表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决定试点范围；查看真实任务单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U02 谁发起任务 组织培训 接受交接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协调员、现场负责人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落实泳道及代理关系；走查一次交接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U03 指引权威来源 有效期及冲突裁定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资料负责人、业务与质量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决定 G01；查看版本发布及作废记录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U04 培训确认到底代表什么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现场负责人、培训责任方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区分参与、覆盖与考核；查看真实培训表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U05 编号生成者 生成时点及关联键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数据人员、协调员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决定关联可靠性；比对三类系统原行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U06 正式模板是否含接收人与未结项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协调员、业务负责人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决定 T05 T13 字段；核验实际模板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U07 复核全检还是抽检及接收条件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质量负责人、业务负责人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决定 T09 G03 G04；查看质量规则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U08 责任接受 争议升级 响应期限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协调员、交接双方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决定 T08 T12；回查争议样本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U09 脱敏字段 授权用途 人员名单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数据、质量及资料授权方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决定读取范围；形成字段与访问清单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U10 快照状态 暂停及恢复规则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数据与质量负责人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决定故障兜底；演练失败与恢复场景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U11 指标口径 样本与工时额度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业务、质量、客户代表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确认 50 次及四小时口径；建立人工基线</w:t>
            </w:r>
          </w:p>
        </w:tc>
      </w:tr>
      <w:tr>
        <w:trPr>
          <w:cantSplit/>
        </w:trPr>
        <w:tc>
          <w:tcPr>
            <w:tcW w:type="dxa" w:w="3974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U12 保留期 删除执行与核验证据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资料负责人、质量负责人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决定 T14 与结束清理；形成项目约定</w:t>
            </w:r>
          </w:p>
        </w:tc>
      </w:tr>
    </w:tbl>
    <w:p>
      <w:pPr>
        <w:spacing w:after="0"/>
      </w:pPr>
    </w:p>
    <w:p>
      <w:r>
        <w:t>评审时应逐项记录结论、确认人、确认日期及证据位置；未决项继续保留。建议首先关闭 U01、U03、U05、U07、U09、U10，再决定是否进入真实资料试点。</w:t>
      </w:r>
    </w:p>
    <w:p>
      <w:r>
        <w:t>页面中“待核实的问题 0 项”是采集界面的状态，不能覆盖报告正文已列出的未决事项。本文以实际证据是否充分来维护问题清单，不以覆盖率直接关闭需求。</w:t>
      </w:r>
    </w:p>
    <w:p>
      <w:pPr>
        <w:pStyle w:val="Heading1"/>
        <w:pageBreakBefore/>
      </w:pPr>
      <w:r>
        <w:t>17 证据索引与使用说明</w:t>
      </w:r>
    </w:p>
    <w:p>
      <w:r>
        <w:t>本分析读取案例页面的 36 条合成事实及在线需求发现报告。在线报告中的六个需求也标为待验证假设。下面按原 ID 索引，便于评审回查。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915"/>
        <w:gridCol w:w="5083"/>
        <w:gridCol w:w="3168"/>
      </w:tblGrid>
      <w:tr>
        <w:trPr>
          <w:tblHeader/>
          <w:cantSplit/>
        </w:trPr>
        <w:tc>
          <w:tcPr>
            <w:tcW w:type="dxa" w:w="1915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证据组</w:t>
            </w:r>
          </w:p>
        </w:tc>
        <w:tc>
          <w:tcPr>
            <w:tcW w:type="dxa" w:w="5083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内容摘要</w:t>
            </w:r>
          </w:p>
        </w:tc>
        <w:tc>
          <w:tcPr>
            <w:tcW w:type="dxa" w:w="3168"/>
            <w:vAlign w:val="center"/>
            <w:shd w:fill="DFEAF2"/>
          </w:tcPr>
          <w:p>
            <w:pPr>
              <w:spacing w:after="40" w:before="40" w:line="280" w:lineRule="exact"/>
            </w:pPr>
            <w:r>
              <w:rPr>
                <w:b/>
                <w:sz w:val="20"/>
              </w:rPr>
              <w:t>主要引用位置</w:t>
            </w:r>
          </w:p>
        </w:tc>
      </w:tr>
      <w:tr>
        <w:trPr>
          <w:cantSplit/>
        </w:trPr>
        <w:tc>
          <w:tcPr>
            <w:tcW w:type="dxa" w:w="191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F00–F05</w:t>
              <w:br/>
              <w:t>顾明岚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减少重复核对；任务至质量主链；50 次目标；四周与骨干投入；范围决策及停止权；单批次边界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范围、T01、试点与验收</w:t>
            </w:r>
          </w:p>
        </w:tc>
      </w:tr>
      <w:tr>
        <w:trPr>
          <w:cantSplit/>
        </w:trPr>
        <w:tc>
          <w:tcPr>
            <w:tcW w:type="dxa" w:w="191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F10–F15</w:t>
              <w:br/>
              <w:t>林亦舟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版本不一致；夜班旧清单；虚构基线；群内处理后补填；当班确认；一页来源清单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T02 T03 T06 T07；P01 P03 P05；A02 A03</w:t>
            </w:r>
          </w:p>
        </w:tc>
      </w:tr>
      <w:tr>
        <w:trPr>
          <w:cantSplit/>
        </w:trPr>
        <w:tc>
          <w:tcPr>
            <w:tcW w:type="dxa" w:w="191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F20–F25</w:t>
              <w:br/>
              <w:t>唐映秋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跟踪接收版本未结项；合成样本；人工正式变更确认；交接期限；有效期及状态；确认链与转责限制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T04 T05 T08 T10 T11 T13 T14</w:t>
            </w:r>
          </w:p>
        </w:tc>
      </w:tr>
      <w:tr>
        <w:trPr>
          <w:cantSplit/>
        </w:trPr>
        <w:tc>
          <w:tcPr>
            <w:tcW w:type="dxa" w:w="191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F30–F35</w:t>
              <w:br/>
              <w:t>秦芮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三类工具无统一编号；关键字段及状态；脱敏只读；数据质量原行；双时间；快照故障兜底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数据契约；P02 P03 P07；A01</w:t>
            </w:r>
          </w:p>
        </w:tc>
      </w:tr>
      <w:tr>
        <w:trPr>
          <w:cantSplit/>
        </w:trPr>
        <w:tc>
          <w:tcPr>
            <w:tcW w:type="dxa" w:w="191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F40–F45</w:t>
              <w:br/>
              <w:t>傅景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授权与来源风险；人工正式结论；质量目标；保留与删除；人工队列；审计链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T09 T12 T14；AI 边界；验收</w:t>
            </w:r>
          </w:p>
        </w:tc>
      </w:tr>
      <w:tr>
        <w:trPr>
          <w:cantSplit/>
        </w:trPr>
        <w:tc>
          <w:tcPr>
            <w:tcW w:type="dxa" w:w="1915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F50–F55</w:t>
              <w:br/>
              <w:t>叶书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速度与复核窗口；综合指标；生产边界；原始记录双边对账；投诉原文；每周复盘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 w:line="280" w:lineRule="exact"/>
            </w:pPr>
            <w:r>
              <w:rPr>
                <w:b w:val="0"/>
                <w:sz w:val="20"/>
              </w:rPr>
              <w:t>T06 T07 T13；P06；A06；效果评估</w:t>
            </w:r>
          </w:p>
        </w:tc>
      </w:tr>
    </w:tbl>
    <w:p>
      <w:pPr>
        <w:spacing w:after="0"/>
      </w:pPr>
    </w:p>
    <w:p>
      <w:pPr>
        <w:pStyle w:val="Heading2"/>
      </w:pPr>
      <w:r>
        <w:t>引用来源</w:t>
      </w:r>
    </w:p>
    <w:p>
      <w:r>
        <w:t>S1 生产岗位培训与工序交接案例及需求发现报告。读取日期 2026 年 10 月 13 日；页面分析时间为 2026 年 10 月 13 日 09:01:01。</w:t>
      </w:r>
    </w:p>
    <w:p>
      <w:r>
        <w:t>https://fde-discovery-lab-67046.app.workbuddy.host/fsg/lab?case=fsg-production-handover</w:t>
      </w:r>
    </w:p>
    <w:p>
      <w:r>
        <w:t>S2 OMG Business Process Model and Notation 2.0.2 官方规范。本文参考活动、事件、网关、泳道及流程交换模型的表达方法。</w:t>
      </w:r>
    </w:p>
    <w:p>
      <w:r>
        <w:t>https://www.omg.org/spec/BPMN/2.0.2/</w:t>
      </w:r>
    </w:p>
    <w:p>
      <w:pPr>
        <w:pStyle w:val="Heading2"/>
      </w:pPr>
      <w:r>
        <w:t>交付文件与修改方式</w:t>
      </w:r>
    </w:p>
    <w:p>
      <w:r>
        <w:t>业务分析 DOCX：角色、输入输出、14 项活动、4 项判断、状态、7 类痛点、6 类 AI 能力及试点评估。BPMN：可编辑的流程模型，附布局坐标。SVG 与 PNG：同一流程的大图。来源目录：页面访谈与报告原文。</w:t>
      </w:r>
    </w:p>
    <w:p>
      <w:r>
        <w:t>本文件是业务分析工作稿，尚未获得真实项目的流程、制度、数据授权和验收确认。后续修改应同时更新节点、判断规则与证据索引，避免只改图形而留下旧业务说明。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合成访谈重建版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生产岗位培训与工序交接   业务分析工作稿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9" w:lineRule="exact"/>
      <w:widowControl/>
      <w:snapToGrid w:val="0"/>
    </w:pPr>
    <w:rPr>
      <w:rFonts w:ascii="Source Han Sans CN" w:hAnsi="Source Han Sans CN" w:eastAsia="Source Han Sans C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93" w:lineRule="exact"/>
      <w:outlineLvl w:val="0"/>
      <w:snapToGrid w:val="0"/>
    </w:pPr>
    <w:rPr>
      <w:rFonts w:ascii="Source Han Sans CN" w:hAnsi="Source Han Sans CN" w:eastAsia="Source Han Sans CN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62" w:lineRule="exact"/>
      <w:outlineLvl w:val="1"/>
      <w:snapToGrid w:val="0"/>
    </w:pPr>
    <w:rPr>
      <w:rFonts w:ascii="Source Han Sans CN" w:hAnsi="Source Han Sans CN" w:eastAsia="Source Han Sans C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 w:line="319" w:lineRule="exact"/>
      <w:outlineLvl w:val="2"/>
      <w:snapToGrid w:val="0"/>
    </w:pPr>
    <w:rPr>
      <w:rFonts w:ascii="Source Han Sans CN" w:hAnsi="Source Han Sans CN" w:eastAsia="Source Han Sans CN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5" w:lineRule="exact" w:before="180"/>
      <w:contextualSpacing/>
      <w:keepNext/>
      <w:snapToGrid w:val="0"/>
    </w:pPr>
    <w:rPr>
      <w:rFonts w:ascii="Source Han Sans CN" w:hAnsi="Source Han Sans CN" w:eastAsia="Source Han Sans CN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48" w:lineRule="exact"/>
      <w:snapToGrid w:val="0"/>
    </w:pPr>
    <w:rPr>
      <w:rFonts w:ascii="Source Han Sans CN" w:hAnsi="Source Han Sans CN" w:eastAsia="Source Han Sans C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1" w:lineRule="exact" w:after="140"/>
      <w:snapToGrid w:val="0"/>
    </w:pPr>
    <w:rPr>
      <w:rFonts w:ascii="Source Han Sans CN" w:hAnsi="Source Han Sans CN" w:eastAsia="Source Han Sans CN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生产岗位培训与工序交接业务分析</dc:title>
  <dc:subject>传统人工 BPMN 业务规则 痛点及 AI 只读辅助方案</dc:subject>
  <dc:creator>业务分析工作稿</dc:creator>
  <cp:keywords>合成访谈, BPMN, 交接, 培训记录, AI辅助, 待业务确认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