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 w:line="560" w:lineRule="exact"/>
        <w:jc w:val="center"/>
      </w:pPr>
      <w:r>
        <w:rPr>
          <w:rFonts w:ascii="黑体" w:cs="黑体" w:eastAsia="黑体" w:hAnsi="黑体"/>
          <w:b/>
          <w:bCs/>
          <w:sz w:val="32"/>
          <w:szCs w:val="32"/>
        </w:rPr>
        <w:t xml:space="preserve">媒体信息摘报（2026年7月16日）</w:t>
      </w:r>
    </w:p>
    <w:p>
      <w:pPr>
        <w:spacing w:after="160" w:before="240" w:line="560" w:lineRule="exact"/>
      </w:pPr>
      <w:r>
        <w:rPr>
          <w:rFonts w:ascii="黑体" w:cs="黑体" w:eastAsia="黑体" w:hAnsi="黑体"/>
          <w:b/>
          <w:bCs/>
          <w:sz w:val="32"/>
          <w:szCs w:val="32"/>
        </w:rPr>
        <w:t xml:space="preserve">1、“上新”166件产品！重庆借力“首台（套）”撬动制造业高端化</w:t>
      </w:r>
    </w:p>
    <w:p>
      <w:pPr>
        <w:spacing w:after="80" w:before="0" w:line="560" w:lineRule="exact"/>
      </w:pPr>
      <w:r>
        <w:rPr>
          <w:rFonts w:ascii="仿宋_GB2312" w:cs="仿宋_GB2312" w:eastAsia="仿宋_GB2312" w:hAnsi="仿宋_GB2312"/>
          <w:sz w:val="32"/>
          <w:szCs w:val="32"/>
        </w:rPr>
        <w:t xml:space="preserve">7月14日，重庆市经济信息委印发《重庆市首台（套）重大技术装备推广应用目录（2026年版）》，来自节能环保、新能源装备、智能装备等6个大类的166件产品入选。首台（套）重大技术装备是指经创新研发、在品种和规格等方面形成重大突破、具有自主知识产权但处于市场推广初期的产品。重庆将首台（套）政策作为推动制造业高端化、智能化、绿色化的重要抓手，以“研发、认定、应用、推广、保险”政策组合拳推动装备制造业升级，具体举措如下：</w:t>
      </w:r>
    </w:p>
    <w:p>
      <w:pPr>
        <w:spacing w:after="80" w:before="0" w:line="560" w:lineRule="exact"/>
      </w:pPr>
      <w:r>
        <w:rPr>
          <w:rFonts w:ascii="仿宋_GB2312" w:cs="仿宋_GB2312" w:eastAsia="仿宋_GB2312" w:hAnsi="仿宋_GB2312"/>
          <w:sz w:val="32"/>
          <w:szCs w:val="32"/>
        </w:rPr>
        <w:t xml:space="preserve">一是实施首台（套）产品保险。由政府部门牵头、保险公司设立险种、产品生产企业投保、政府财政予以补贴、用户企业承保，提高用户企业购买和使用产品的信心，帮助创新型产品跨越市场初期应用瓶颈。</w:t>
      </w:r>
    </w:p>
    <w:p>
      <w:pPr>
        <w:spacing w:after="80" w:before="0" w:line="560" w:lineRule="exact"/>
      </w:pPr>
      <w:r>
        <w:rPr>
          <w:rFonts w:ascii="仿宋_GB2312" w:cs="仿宋_GB2312" w:eastAsia="仿宋_GB2312" w:hAnsi="仿宋_GB2312"/>
          <w:sz w:val="32"/>
          <w:szCs w:val="32"/>
        </w:rPr>
        <w:t xml:space="preserve">二是给予资金奖励。市经信、财政、发改等多部门联合制定《进一步支持重庆市首台（套）重大技术装备推广应用政策措施》，对产品使用企业予以首台套产品首购首用奖励和保费补贴，最高奖补500万元。</w:t>
      </w:r>
    </w:p>
    <w:p>
      <w:pPr>
        <w:spacing w:after="80" w:before="0" w:line="560" w:lineRule="exact"/>
      </w:pPr>
      <w:r>
        <w:rPr>
          <w:rFonts w:ascii="仿宋_GB2312" w:cs="仿宋_GB2312" w:eastAsia="仿宋_GB2312" w:hAnsi="仿宋_GB2312"/>
          <w:sz w:val="32"/>
          <w:szCs w:val="32"/>
        </w:rPr>
        <w:t xml:space="preserve">三是强化市场推广。支持产品研制企业定期举行新产品发布会，落实支持首台套重大技术装备参与招标投标，鼓励国有平台加大首台套重大技术装备采购。</w:t>
      </w:r>
    </w:p>
    <w:p>
      <w:pPr>
        <w:spacing w:after="80" w:before="0" w:line="560" w:lineRule="exact"/>
      </w:pPr>
      <w:r>
        <w:rPr>
          <w:rFonts w:ascii="仿宋_GB2312" w:cs="仿宋_GB2312" w:eastAsia="仿宋_GB2312" w:hAnsi="仿宋_GB2312"/>
          <w:sz w:val="32"/>
          <w:szCs w:val="32"/>
        </w:rPr>
        <w:t xml:space="preserve">四是提供金融扶持。为产品研制企业提供融资，撬动社会资本参与首台套重大技术装备研发、制造和示范应用。</w:t>
      </w:r>
    </w:p>
    <w:p>
      <w:pPr>
        <w:spacing w:after="80" w:before="0" w:line="560" w:lineRule="exact"/>
      </w:pPr>
      <w:r>
        <w:rPr>
          <w:rFonts w:ascii="仿宋_GB2312" w:cs="仿宋_GB2312" w:eastAsia="仿宋_GB2312" w:hAnsi="仿宋_GB2312"/>
          <w:sz w:val="32"/>
          <w:szCs w:val="32"/>
        </w:rPr>
        <w:t xml:space="preserve">数据显示，“十四五”以来重庆累计认定4个批次市级首台（套）产品，覆盖130家企业、200多款产品，实现销售额近100亿元，预计到2027年首台（套）产品将突破300个。</w:t>
      </w:r>
    </w:p>
    <w:p>
      <w:pPr>
        <w:spacing w:after="320" w:before="120" w:line="560" w:lineRule="exact"/>
      </w:pPr>
      <w:r>
        <w:rPr>
          <w:rFonts w:ascii="仿宋_GB2312" w:cs="仿宋_GB2312" w:eastAsia="仿宋_GB2312" w:hAnsi="仿宋_GB2312"/>
          <w:sz w:val="32"/>
          <w:szCs w:val="32"/>
        </w:rPr>
        <w:t xml:space="preserve">（信息来源：重庆日报7月16日《“上新”166件产品！重庆借力“首台（套）”撬动制造业高端化》  https://www.cq.gov.cn/ywdt/jrcq/202607/t20260716_15825509.html）</w:t>
      </w:r>
    </w:p>
    <w:p>
      <w:pPr>
        <w:spacing w:after="160" w:before="240" w:line="560" w:lineRule="exact"/>
      </w:pPr>
      <w:r>
        <w:rPr>
          <w:rFonts w:ascii="黑体" w:cs="黑体" w:eastAsia="黑体" w:hAnsi="黑体"/>
          <w:b/>
          <w:bCs/>
          <w:sz w:val="32"/>
          <w:szCs w:val="32"/>
        </w:rPr>
        <w:t xml:space="preserve">2、兑现近1500万元！南沙“惠企政策直通车”送“真金白银”</w:t>
      </w:r>
    </w:p>
    <w:p>
      <w:pPr>
        <w:spacing w:after="80" w:before="0" w:line="560" w:lineRule="exact"/>
      </w:pPr>
      <w:r>
        <w:rPr>
          <w:rFonts w:ascii="仿宋_GB2312" w:cs="仿宋_GB2312" w:eastAsia="仿宋_GB2312" w:hAnsi="仿宋_GB2312"/>
          <w:sz w:val="32"/>
          <w:szCs w:val="32"/>
        </w:rPr>
        <w:t xml:space="preserve">7月15日，南沙区举办2026年“惠企政策直通车”系列宣介活动，现场为19名代表颁发奖励支票、交付钥匙，本批政策兑现覆盖近3000人及一批企业，兑现金额近1500万元。南沙以“惠企政策直通车”系列活动为抓手，推动政策红利送上门，具体举措如下：</w:t>
      </w:r>
    </w:p>
    <w:p>
      <w:pPr>
        <w:spacing w:after="80" w:before="0" w:line="560" w:lineRule="exact"/>
      </w:pPr>
      <w:r>
        <w:rPr>
          <w:rFonts w:ascii="仿宋_GB2312" w:cs="仿宋_GB2312" w:eastAsia="仿宋_GB2312" w:hAnsi="仿宋_GB2312"/>
          <w:sz w:val="32"/>
          <w:szCs w:val="32"/>
        </w:rPr>
        <w:t xml:space="preserve">一是构建三级政策体系。在国家级政策和省市政策礼包加持下，南沙主动配套出台“提质增效十条”“创新驱动27条”“双倍增15条”“人才9条”“南十条”等超30项产业、科创、人才专项政策，形成国家顶层政策赋能、省级配套政策加持、市区政策联动支撑的三级体系。</w:t>
      </w:r>
    </w:p>
    <w:p>
      <w:pPr>
        <w:spacing w:after="80" w:before="0" w:line="560" w:lineRule="exact"/>
      </w:pPr>
      <w:r>
        <w:rPr>
          <w:rFonts w:ascii="仿宋_GB2312" w:cs="仿宋_GB2312" w:eastAsia="仿宋_GB2312" w:hAnsi="仿宋_GB2312"/>
          <w:sz w:val="32"/>
          <w:szCs w:val="32"/>
        </w:rPr>
        <w:t xml:space="preserve">二是组建政策宣传服务专员队伍。南沙整合部门镇街业务骨干、优秀企业代表，组建覆盖全域的三维“政策宣传服务专员”队伍，为企业提供申报指引和政策辅导，推动企业诉求件件有回应、事事有着落。</w:t>
      </w:r>
    </w:p>
    <w:p>
      <w:pPr>
        <w:spacing w:after="80" w:before="0" w:line="560" w:lineRule="exact"/>
      </w:pPr>
      <w:r>
        <w:rPr>
          <w:rFonts w:ascii="仿宋_GB2312" w:cs="仿宋_GB2312" w:eastAsia="仿宋_GB2312" w:hAnsi="仿宋_GB2312"/>
          <w:sz w:val="32"/>
          <w:szCs w:val="32"/>
        </w:rPr>
        <w:t xml:space="preserve">三是上线“南沙惠企政策通”小程序。该程序整合十大重点产业、四大特色政策包，集合政策精准推送、智能匹配、一键查询功能，推动“人找政策”向“政策找人”转变。</w:t>
      </w:r>
    </w:p>
    <w:p>
      <w:pPr>
        <w:spacing w:after="80" w:before="0" w:line="560" w:lineRule="exact"/>
      </w:pPr>
      <w:r>
        <w:rPr>
          <w:rFonts w:ascii="仿宋_GB2312" w:cs="仿宋_GB2312" w:eastAsia="仿宋_GB2312" w:hAnsi="仿宋_GB2312"/>
          <w:sz w:val="32"/>
          <w:szCs w:val="32"/>
        </w:rPr>
        <w:t xml:space="preserve">四是落实降本减负。依托《南沙方案》“双15%”税收优惠，南沙累计为企业减免税额27.75亿元、港澳人才减免个税1.68亿元；制造业企业增资扩产、技术改造最高扶持5000万元；每年为企业开展技术攻关提供最高1亿元研发补助。</w:t>
      </w:r>
    </w:p>
    <w:p>
      <w:pPr>
        <w:spacing w:after="80" w:before="0" w:line="560" w:lineRule="exact"/>
      </w:pPr>
      <w:r>
        <w:rPr>
          <w:rFonts w:ascii="仿宋_GB2312" w:cs="仿宋_GB2312" w:eastAsia="仿宋_GB2312" w:hAnsi="仿宋_GB2312"/>
          <w:sz w:val="32"/>
          <w:szCs w:val="32"/>
        </w:rPr>
        <w:t xml:space="preserve">五是优化服务配套。推行“交地即开工，竣工即投产”，建设用地规划许可证等6类证件审批时限压缩至5个工作日内，企业开工周期可提前3至6个月；248项境外职业资格实现认可。</w:t>
      </w:r>
    </w:p>
    <w:p>
      <w:pPr>
        <w:spacing w:after="80" w:before="0" w:line="560" w:lineRule="exact"/>
      </w:pPr>
      <w:r>
        <w:rPr>
          <w:rFonts w:ascii="仿宋_GB2312" w:cs="仿宋_GB2312" w:eastAsia="仿宋_GB2312" w:hAnsi="仿宋_GB2312"/>
          <w:sz w:val="32"/>
          <w:szCs w:val="32"/>
        </w:rPr>
        <w:t xml:space="preserve">目前南沙累计兑现各类扶持资金近百亿元，其中政策“免申即享”惠及超510家企业、4万人次。</w:t>
      </w:r>
    </w:p>
    <w:p>
      <w:pPr>
        <w:spacing w:after="320" w:before="120" w:line="560" w:lineRule="exact"/>
      </w:pPr>
      <w:r>
        <w:rPr>
          <w:rFonts w:ascii="仿宋_GB2312" w:cs="仿宋_GB2312" w:eastAsia="仿宋_GB2312" w:hAnsi="仿宋_GB2312"/>
          <w:sz w:val="32"/>
          <w:szCs w:val="32"/>
        </w:rPr>
        <w:t xml:space="preserve">（信息来源：南方日报7月16日《兑现近1500万元！南沙“惠企政策直通车”送“真金白银”》  https://static.nfnews.com/content/202607/15/c12629795.html）</w:t>
      </w:r>
    </w:p>
    <w:p>
      <w:pPr>
        <w:spacing w:after="160" w:before="240" w:line="560" w:lineRule="exact"/>
      </w:pPr>
      <w:r>
        <w:rPr>
          <w:rFonts w:ascii="黑体" w:cs="黑体" w:eastAsia="黑体" w:hAnsi="黑体"/>
          <w:b/>
          <w:bCs/>
          <w:sz w:val="32"/>
          <w:szCs w:val="32"/>
        </w:rPr>
        <w:t xml:space="preserve">3、深圳关区AEO企业总量达1189家</w:t>
      </w:r>
    </w:p>
    <w:p>
      <w:pPr>
        <w:spacing w:after="80" w:before="0" w:line="560" w:lineRule="exact"/>
      </w:pPr>
      <w:r>
        <w:rPr>
          <w:rFonts w:ascii="仿宋_GB2312" w:cs="仿宋_GB2312" w:eastAsia="仿宋_GB2312" w:hAnsi="仿宋_GB2312"/>
          <w:sz w:val="32"/>
          <w:szCs w:val="32"/>
        </w:rPr>
        <w:t xml:space="preserve">近日，今天国际物流技术股份有限公司取得海关AEO认证企业证书，成为2026年4月1日新《中华人民共和国海关注册登记和备案企业信用管理办法》实施后深圳海关关区首家认证企业。目前深圳海关关区AEO企业总量达1189家，其中认证企业633家、高级认证企业556家。深圳海关将AEO认证作为服务外贸企业、优化口岸营商环境的重要抓手，为推动信用惠企政策直达快享采取以下举措：</w:t>
      </w:r>
    </w:p>
    <w:p>
      <w:pPr>
        <w:spacing w:after="80" w:before="0" w:line="560" w:lineRule="exact"/>
      </w:pPr>
      <w:r>
        <w:rPr>
          <w:rFonts w:ascii="仿宋_GB2312" w:cs="仿宋_GB2312" w:eastAsia="仿宋_GB2312" w:hAnsi="仿宋_GB2312"/>
          <w:sz w:val="32"/>
          <w:szCs w:val="32"/>
        </w:rPr>
        <w:t xml:space="preserve">一是适用新版信用评估机制。2026年4月1日海关总署施行新《信用管理办法》，将原有三级信用体系优化调整为五级，新增“认证企业”层级，明确“认证企业”与“高级认证企业”同属中国经认证的经营者（AEO），两类企业均可享受差异化通关便利。</w:t>
      </w:r>
    </w:p>
    <w:p>
      <w:pPr>
        <w:spacing w:after="80" w:before="0" w:line="560" w:lineRule="exact"/>
      </w:pPr>
      <w:r>
        <w:rPr>
          <w:rFonts w:ascii="仿宋_GB2312" w:cs="仿宋_GB2312" w:eastAsia="仿宋_GB2312" w:hAnsi="仿宋_GB2312"/>
          <w:sz w:val="32"/>
          <w:szCs w:val="32"/>
        </w:rPr>
        <w:t xml:space="preserve">二是简化首次认定流程。新《信用管理办法》简化了认证企业的首次认定流程，符合条件企业无需经过复杂现场认证流程即可取得AEO认证资质，快速解锁通关便利。</w:t>
      </w:r>
    </w:p>
    <w:p>
      <w:pPr>
        <w:spacing w:after="80" w:before="0" w:line="560" w:lineRule="exact"/>
      </w:pPr>
      <w:r>
        <w:rPr>
          <w:rFonts w:ascii="仿宋_GB2312" w:cs="仿宋_GB2312" w:eastAsia="仿宋_GB2312" w:hAnsi="仿宋_GB2312"/>
          <w:sz w:val="32"/>
          <w:szCs w:val="32"/>
        </w:rPr>
        <w:t xml:space="preserve">三是靠前梳理企业清单。深圳海关第一时间梳理辖区符合认定条件的企业清单，逐一开展政策宣讲，细致解读AEO企业优先通关、降低查验比例、国际互认等专属便利。</w:t>
      </w:r>
    </w:p>
    <w:p>
      <w:pPr>
        <w:spacing w:after="80" w:before="0" w:line="560" w:lineRule="exact"/>
      </w:pPr>
      <w:r>
        <w:rPr>
          <w:rFonts w:ascii="仿宋_GB2312" w:cs="仿宋_GB2312" w:eastAsia="仿宋_GB2312" w:hAnsi="仿宋_GB2312"/>
          <w:sz w:val="32"/>
          <w:szCs w:val="32"/>
        </w:rPr>
        <w:t xml:space="preserve">四是全程辅导线上申请。深圳海关全程辅导企业通过“中国海关信用管理服务平台”提交线上信用评估申请。</w:t>
      </w:r>
    </w:p>
    <w:p>
      <w:pPr>
        <w:spacing w:after="80" w:before="0" w:line="560" w:lineRule="exact"/>
      </w:pPr>
      <w:r>
        <w:rPr>
          <w:rFonts w:ascii="仿宋_GB2312" w:cs="仿宋_GB2312" w:eastAsia="仿宋_GB2312" w:hAnsi="仿宋_GB2312"/>
          <w:sz w:val="32"/>
          <w:szCs w:val="32"/>
        </w:rPr>
        <w:t xml:space="preserve">获评AEO认证企业后，公司出口货物查验频次、放行结关时效均可适用海关便利管理措施，物流综合成本持续下降。</w:t>
      </w:r>
    </w:p>
    <w:p>
      <w:pPr>
        <w:spacing w:after="320" w:before="120" w:line="560" w:lineRule="exact"/>
      </w:pPr>
      <w:r>
        <w:rPr>
          <w:rFonts w:ascii="仿宋_GB2312" w:cs="仿宋_GB2312" w:eastAsia="仿宋_GB2312" w:hAnsi="仿宋_GB2312"/>
          <w:sz w:val="32"/>
          <w:szCs w:val="32"/>
        </w:rPr>
        <w:t xml:space="preserve">（信息来源：南方日报7月16日《深圳关区AEO企业总量达1189家》  https://static.nfnews.com/content/202607/15/c12628341.html）</w:t>
      </w:r>
    </w:p>
    <w:p>
      <w:pPr>
        <w:spacing w:after="160" w:before="240" w:line="560" w:lineRule="exact"/>
      </w:pPr>
      <w:r>
        <w:rPr>
          <w:rFonts w:ascii="黑体" w:cs="黑体" w:eastAsia="黑体" w:hAnsi="黑体"/>
          <w:b/>
          <w:bCs/>
          <w:sz w:val="32"/>
          <w:szCs w:val="32"/>
        </w:rPr>
        <w:t xml:space="preserve">4、三大共享平台 构筑产业“护城河”</w:t>
      </w:r>
    </w:p>
    <w:p>
      <w:pPr>
        <w:spacing w:after="80" w:before="0" w:line="560" w:lineRule="exact"/>
      </w:pPr>
      <w:r>
        <w:rPr>
          <w:rFonts w:ascii="仿宋_GB2312" w:cs="仿宋_GB2312" w:eastAsia="仿宋_GB2312" w:hAnsi="仿宋_GB2312"/>
          <w:sz w:val="32"/>
          <w:szCs w:val="32"/>
        </w:rPr>
        <w:t xml:space="preserve">今年前5个月，江门蓬江区摩托车进出口总额达45.1亿元，同比增长21.4%。蓬江区通过以商引商、靶向招商、链式招商精准补链强链延链，近3年引进飞肯摩托、华龙摩托等20多个产业链项目，计划总投资近70亿元。为破解摩托车产业共性难题，蓬江构建三大共享平台，具体举措如下：</w:t>
      </w:r>
    </w:p>
    <w:p>
      <w:pPr>
        <w:spacing w:after="80" w:before="0" w:line="560" w:lineRule="exact"/>
      </w:pPr>
      <w:r>
        <w:rPr>
          <w:rFonts w:ascii="仿宋_GB2312" w:cs="仿宋_GB2312" w:eastAsia="仿宋_GB2312" w:hAnsi="仿宋_GB2312"/>
          <w:sz w:val="32"/>
          <w:szCs w:val="32"/>
        </w:rPr>
        <w:t xml:space="preserve">一是共建超算中心下沉制造一线。广东省科学院江门产业技术研究院与中山大学合作，在蓬江区共建国家超级计算广州中心江门分中心，将“天河二号”算力部署到制造业一线。当地摩托车配套商研发周期从6个月压缩到15天，节省模具开发费用超50%；中心仿真分析服务已覆盖超20家摩托车企业。</w:t>
      </w:r>
    </w:p>
    <w:p>
      <w:pPr>
        <w:spacing w:after="80" w:before="0" w:line="560" w:lineRule="exact"/>
      </w:pPr>
      <w:r>
        <w:rPr>
          <w:rFonts w:ascii="仿宋_GB2312" w:cs="仿宋_GB2312" w:eastAsia="仿宋_GB2312" w:hAnsi="仿宋_GB2312"/>
          <w:sz w:val="32"/>
          <w:szCs w:val="32"/>
        </w:rPr>
        <w:t xml:space="preserve">二是新建共性工厂破解喷涂难题。蓬江区推动投资建设首个摩托车配件喷涂共享共性工厂——星火产业园，项目总投资3.85亿元，规划总建筑面积约9.55万平方米，一期已建成3栋8层专业喷涂厂房、24条自动化喷涂生产线，配套每小时20万立方米VOCs废气治理系统和日处理400吨污水处理站；全园建成后将拥有44条生产线，每年可加工五金配件约5000万件。</w:t>
      </w:r>
    </w:p>
    <w:p>
      <w:pPr>
        <w:spacing w:after="80" w:before="0" w:line="560" w:lineRule="exact"/>
      </w:pPr>
      <w:r>
        <w:rPr>
          <w:rFonts w:ascii="仿宋_GB2312" w:cs="仿宋_GB2312" w:eastAsia="仿宋_GB2312" w:hAnsi="仿宋_GB2312"/>
          <w:sz w:val="32"/>
          <w:szCs w:val="32"/>
        </w:rPr>
        <w:t xml:space="preserve">三是打造公共型摩托车试车场。在蓬江区委、区政府支持下，珠峰摩托与蓬江区国资局联合打造全省首个公共型摩托车试车场，占地超200亩，配备1.6公里标准环形主试车道及颠簸路、涉水路等10条不同场景试车路段，向所有本地摩托车企业开放。</w:t>
      </w:r>
    </w:p>
    <w:p>
      <w:pPr>
        <w:spacing w:after="80" w:before="0" w:line="560" w:lineRule="exact"/>
      </w:pPr>
      <w:r>
        <w:rPr>
          <w:rFonts w:ascii="仿宋_GB2312" w:cs="仿宋_GB2312" w:eastAsia="仿宋_GB2312" w:hAnsi="仿宋_GB2312"/>
          <w:sz w:val="32"/>
          <w:szCs w:val="32"/>
        </w:rPr>
        <w:t xml:space="preserve">此外，江门海关创新实施“智护摩企·链通全球”专项护航项目，从助企破壁、品牌护航、通关提速三个维度精准发力。</w:t>
      </w:r>
    </w:p>
    <w:p>
      <w:pPr>
        <w:spacing w:after="320" w:before="120" w:line="560" w:lineRule="exact"/>
      </w:pPr>
      <w:r>
        <w:rPr>
          <w:rFonts w:ascii="仿宋_GB2312" w:cs="仿宋_GB2312" w:eastAsia="仿宋_GB2312" w:hAnsi="仿宋_GB2312"/>
          <w:sz w:val="32"/>
          <w:szCs w:val="32"/>
        </w:rPr>
        <w:t xml:space="preserve">（信息来源：南方日报7月16日《三大共享平台 构筑产业“护城河”》  https://epaper.nfnews.com/nfdaily/html/202607/16/content_10175883.html）</w:t>
      </w:r>
    </w:p>
    <w:p>
      <w:pPr>
        <w:spacing w:after="160" w:before="240" w:line="560" w:lineRule="exact"/>
      </w:pPr>
      <w:r>
        <w:rPr>
          <w:rFonts w:ascii="黑体" w:cs="黑体" w:eastAsia="黑体" w:hAnsi="黑体"/>
          <w:b/>
          <w:bCs/>
          <w:sz w:val="32"/>
          <w:szCs w:val="32"/>
        </w:rPr>
        <w:t xml:space="preserve">5、农业农村部绿色制剂与现代植保技术重点实验室在惠州揭牌</w:t>
      </w:r>
    </w:p>
    <w:p>
      <w:pPr>
        <w:spacing w:after="80" w:before="0" w:line="560" w:lineRule="exact"/>
      </w:pPr>
      <w:r>
        <w:rPr>
          <w:rFonts w:ascii="仿宋_GB2312" w:cs="仿宋_GB2312" w:eastAsia="仿宋_GB2312" w:hAnsi="仿宋_GB2312"/>
          <w:sz w:val="32"/>
          <w:szCs w:val="32"/>
        </w:rPr>
        <w:t xml:space="preserve">7月15日，农业农村部绿色制剂与现代植保技术重点实验室揭牌仪式在惠州举行。该实验室系今年1月获农业农村部批准建立，是惠州市唯一由企业牵头建设的农业农村部国家级科创平台，填补了惠州市植保领域企业承建国家级科研平台的空白。这一“企业牵头、院校参与”的共建模式，为地方依托龙头企业建设国家级科研平台提供了路径参考，具体建设举措如下：</w:t>
      </w:r>
    </w:p>
    <w:p>
      <w:pPr>
        <w:spacing w:after="80" w:before="0" w:line="560" w:lineRule="exact"/>
      </w:pPr>
      <w:r>
        <w:rPr>
          <w:rFonts w:ascii="仿宋_GB2312" w:cs="仿宋_GB2312" w:eastAsia="仿宋_GB2312" w:hAnsi="仿宋_GB2312"/>
          <w:sz w:val="32"/>
          <w:szCs w:val="32"/>
        </w:rPr>
        <w:t xml:space="preserve">一是明确平台建设主体与定位。实验室由企业牵头建设，总面积超过2000平方米，拥有完善的制剂开发平台及全套先进研发设备，年研发投入占比超同年销售额的7%，致力于打通从绿色农药创制到产业化应用的关键技术链条。</w:t>
      </w:r>
    </w:p>
    <w:p>
      <w:pPr>
        <w:spacing w:after="80" w:before="0" w:line="560" w:lineRule="exact"/>
      </w:pPr>
      <w:r>
        <w:rPr>
          <w:rFonts w:ascii="仿宋_GB2312" w:cs="仿宋_GB2312" w:eastAsia="仿宋_GB2312" w:hAnsi="仿宋_GB2312"/>
          <w:sz w:val="32"/>
          <w:szCs w:val="32"/>
        </w:rPr>
        <w:t xml:space="preserve">二是启动重点研发项目。实验室已启动首个省重点项目“豇豆重大蓟马类害虫绿色防控关键技术研发”，并正携手科研机构联合申报科技部国家重点研发项目。</w:t>
      </w:r>
    </w:p>
    <w:p>
      <w:pPr>
        <w:spacing w:after="80" w:before="0" w:line="560" w:lineRule="exact"/>
      </w:pPr>
      <w:r>
        <w:rPr>
          <w:rFonts w:ascii="仿宋_GB2312" w:cs="仿宋_GB2312" w:eastAsia="仿宋_GB2312" w:hAnsi="仿宋_GB2312"/>
          <w:sz w:val="32"/>
          <w:szCs w:val="32"/>
        </w:rPr>
        <w:t xml:space="preserve">三是聚焦三大研究方向。实验室聚焦绿色农药制剂创新、精准施药技术及有害生物可持续治理等方向，打造我国现代植保领域具有重要影响力的应用基础研究高地，为保障粮食产能稳定、助力农业绿色转型提供科技支撑。</w:t>
      </w:r>
    </w:p>
    <w:p>
      <w:pPr>
        <w:spacing w:after="80" w:before="0" w:line="560" w:lineRule="exact"/>
      </w:pPr>
      <w:r>
        <w:rPr>
          <w:rFonts w:ascii="仿宋_GB2312" w:cs="仿宋_GB2312" w:eastAsia="仿宋_GB2312" w:hAnsi="仿宋_GB2312"/>
          <w:sz w:val="32"/>
          <w:szCs w:val="32"/>
        </w:rPr>
        <w:t xml:space="preserve">四是组建学术委员会。仪式上宣布了第一届学术委员会名单并为委员颁发聘书，由中国工程院院士钱旭红、中国科学院院士夏海平等共同为实验室揭牌。</w:t>
      </w:r>
    </w:p>
    <w:p>
      <w:pPr>
        <w:spacing w:after="320" w:before="120" w:line="560" w:lineRule="exact"/>
      </w:pPr>
      <w:r>
        <w:rPr>
          <w:rFonts w:ascii="仿宋_GB2312" w:cs="仿宋_GB2312" w:eastAsia="仿宋_GB2312" w:hAnsi="仿宋_GB2312"/>
          <w:sz w:val="32"/>
          <w:szCs w:val="32"/>
        </w:rPr>
        <w:t xml:space="preserve">（信息来源：南方日报7月16日《农业农村部绿色制剂与现代植保技术重点实验室在惠州揭牌》  https://static.nfnews.com/content/202607/16/c12629929.html）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2026-07-16T00:08:16.207Z</dcterms:created>
  <dcterms:modified xsi:type="dcterms:W3CDTF">2026-07-16T00:08:16.208Z</dcterms:modified>
</cp:coreProperties>
</file>

<file path=docProps/custom.xml><?xml version="1.0" encoding="utf-8"?>
<Properties xmlns="http://schemas.openxmlformats.org/officeDocument/2006/custom-properties" xmlns:vt="http://schemas.openxmlformats.org/officeDocument/2006/docPropsVTypes"/>
</file>