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12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/>
        <w:jc w:val="center"/>
      </w:pPr>
      <w:r>
        <w:rPr>
          <w:rFonts w:ascii="仿宋_GB2312" w:hAnsi="仿宋_GB2312" w:eastAsia="仿宋_GB2312"/>
          <w:b w:val="0"/>
          <w:sz w:val="32"/>
        </w:rPr>
        <w:t>2026年7月24日（省级党报创新举措精选，福建省除外）</w:t>
      </w:r>
    </w:p>
    <w:p>
      <w:pPr>
        <w:spacing w:lineRule="exact" w:line="560" w:before="160" w:after="40"/>
        <w:ind w:firstLine="0"/>
      </w:pPr>
      <w:r>
        <w:rPr>
          <w:rFonts w:ascii="黑体" w:hAnsi="黑体" w:eastAsia="黑体"/>
          <w:b/>
          <w:sz w:val="32"/>
        </w:rPr>
        <w:t>一、天津日报：夏日津城持续“出圈”</w:t>
      </w:r>
    </w:p>
    <w:p>
      <w:pPr>
        <w:spacing w:lineRule="exact" w:line="560" w:after="40"/>
        <w:ind w:firstLine="480"/>
      </w:pPr>
      <w:r>
        <w:rPr>
          <w:rFonts w:ascii="仿宋_GB2312" w:hAnsi="仿宋_GB2312" w:eastAsia="仿宋_GB2312"/>
          <w:b w:val="0"/>
          <w:sz w:val="32"/>
        </w:rPr>
        <w:t>天津以2026海河国际消费季为抓手，以新场景新模式激活夏日消费。一是全城联动串起16区消费地图。消费季自6月持续至9月，以“购在中国 津彩消费”为主题，将全市16个区串成“一区一亮点”的欢乐地图，商圈、金融机构、线上平台联动推出超千场配套活动。 二是近亿元消费券叠加多重惠民福利。推出近亿元零售、汽车、文旅消费券，叠加以旧换新、有奖发票、消费贴息等惠民举措，实打实让利消费者。 三是首店经济与场景焕新并进。各大商圈全新升级焕新，超多全新首店集中亮相，沉浸式游玩消费场景随处可见；豪华邮轮出行、乡村采摘踏青等特色玩法全新上线，吃喝玩乐购一站式配齐。 四是夜经济与多元业态深度融合。乘云广场等城市更新夜市、烟火夜市、海河游船“游船酒会”、相声茶馆、观光巴士串联昼夜消费，书店阅读、滨海乐园、海上小火车等丰富体验拉满夏日氛围。 五是文旅体融合丰富体验供给。津南柳林公园内全新亲子户外乐园于暑期正式对外开放，适配全年龄段家庭出游；首次登陆天津的知名品牌夏日甜品快闪车上线多款IP主题清凉甜品；海河游船暑期新推限时“游船酒会”，周末夜游浪漫升级。</w:t>
      </w:r>
    </w:p>
    <w:p>
      <w:pPr>
        <w:spacing w:lineRule="exact" w:line="560" w:after="200"/>
        <w:ind w:firstLine="480"/>
      </w:pPr>
      <w:r>
        <w:rPr>
          <w:rFonts w:ascii="仿宋_GB2312" w:hAnsi="仿宋_GB2312" w:eastAsia="仿宋_GB2312"/>
          <w:b w:val="0"/>
          <w:sz w:val="32"/>
        </w:rPr>
        <w:t>（信息来源：天津日报7月24日《夏日津城 持续“出圈”》  https://epaper.tianjinwe.com/tjrb/html/2026-07/24/content_143092_3669007.htm）</w:t>
      </w:r>
    </w:p>
    <w:p>
      <w:pPr>
        <w:spacing w:lineRule="exact" w:line="560" w:before="160" w:after="40"/>
        <w:ind w:firstLine="0"/>
      </w:pPr>
      <w:r>
        <w:rPr>
          <w:rFonts w:ascii="黑体" w:hAnsi="黑体" w:eastAsia="黑体"/>
          <w:b/>
          <w:sz w:val="32"/>
        </w:rPr>
        <w:t>二、南方日报：2026广东优品展今日开幕</w:t>
      </w:r>
    </w:p>
    <w:p>
      <w:pPr>
        <w:spacing w:lineRule="exact" w:line="560" w:after="40"/>
        <w:ind w:firstLine="480"/>
      </w:pPr>
      <w:r>
        <w:rPr>
          <w:rFonts w:ascii="仿宋_GB2312" w:hAnsi="仿宋_GB2312" w:eastAsia="仿宋_GB2312"/>
          <w:b w:val="0"/>
          <w:sz w:val="32"/>
        </w:rPr>
        <w:t>广东以优品展为核心载体启动“广货行天下”秋季行动，推动广货走向全国全球。 一是上半年“广货行天下”成效显著。全省举办专场促销、产业链供需对接、广货进北京、广货进东盟等重点活动超900场，超3万家企业参与、10余个头部电商平台助力，带动直接销售和产销对接意向超6500亿元。 二是七大展馆构筑7万平米展示矩阵。本届优品展于7月24日至26日在广交会展馆A区举办，展览总面积突破7万平方米，设家用电器、消费电子、服装美妆、玩具文创、食品食材、家居家纺、省外综合馆等七大精品展馆。 三是“1+3+7+X+3”架构深化展演销融合。包括1场开幕式、3场商贸对接大会、7大主题展区、50场精准供采对接活动和3场特色配套活动，延续首届“展+演+销”深度融合模式。 四是老字号与智造品牌同台亮相。参展企业既有426年历史的“老字号”陈李济，也有格兰仕、宝士制冷等外贸出口明星企业，以及大疆、影石创新等“广东智造”品牌。 五是线上线下联动拓展国际市场。依托华强北“AI八骏”等特色广货亮相全国两会、广东空调在欧洲“一机难求”等事件热度攀升，广货知名度、美誉度和市场认可度持续提升，成为稳外贸、促消费的重要抓手。</w:t>
      </w:r>
    </w:p>
    <w:p>
      <w:pPr>
        <w:spacing w:lineRule="exact" w:line="560" w:after="200"/>
        <w:ind w:firstLine="480"/>
      </w:pPr>
      <w:r>
        <w:rPr>
          <w:rFonts w:ascii="仿宋_GB2312" w:hAnsi="仿宋_GB2312" w:eastAsia="仿宋_GB2312"/>
          <w:b w:val="0"/>
          <w:sz w:val="32"/>
        </w:rPr>
        <w:t>（信息来源：南方日报7月24日《2026广东优品展今日开幕》  https://epaper.nfnews.com/nfdaily/html/202607/24/content_10176722.html?origin=4）</w:t>
      </w:r>
    </w:p>
    <w:p>
      <w:pPr>
        <w:spacing w:lineRule="exact" w:line="560" w:before="160" w:after="40"/>
        <w:ind w:firstLine="0"/>
      </w:pPr>
      <w:r>
        <w:rPr>
          <w:rFonts w:ascii="黑体" w:hAnsi="黑体" w:eastAsia="黑体"/>
          <w:b/>
          <w:sz w:val="32"/>
        </w:rPr>
        <w:t>三、重庆日报：九龙坡加快建设创新强区</w:t>
      </w:r>
    </w:p>
    <w:p>
      <w:pPr>
        <w:spacing w:lineRule="exact" w:line="560" w:after="40"/>
        <w:ind w:firstLine="480"/>
      </w:pPr>
      <w:r>
        <w:rPr>
          <w:rFonts w:ascii="仿宋_GB2312" w:hAnsi="仿宋_GB2312" w:eastAsia="仿宋_GB2312"/>
          <w:b w:val="0"/>
          <w:sz w:val="32"/>
        </w:rPr>
        <w:t>九龙坡区委全会提出以科技创新引领全面创新，建设具有重庆辨识度的创新强区。 一是以“102030”攻坚体系为抓手。区委十三届十一次全会鲜明提出加快建设具有重庆辨识度、全国影响力的创新强区，以数智赋能、人才引领、体制变革为核心动力，以“102030”重点攻坚突破体系作为抓落实的载体。 二是推动科技创新与产业创新深度融合。围绕建设创新强区目标，坚持把科技创新摆在现代化建设全局核心位置，不断完善创新体系、集聚创新资源、提升创新能力，持续增强科技创新策源功能。 三是具身智能等新技术从实验室走向产业。中煤科工重庆研究院自主研发地下空间具身智能钻探机器人，依托多源信息感知、智能决策和自主钻进等关键技术，让钻探作业从每台设备需4人操作减至1人，在国内多个矿山应用并走向海外。 四是目标到2030年基本建成创新强区。力争到2030年全区创新主体量质齐升、高能平台集聚成势、产业转化高效顺畅、创新活力全面迸发，推动经济社会发展全面转入创新驱动发展轨道。 五是深化体制机制变革与人才引领。以数智赋能、人才引领、体制变革为核心动力，在奋力谱写中国式现代化重庆篇章中勇挑重担、走在前列，自觉把创新发展放在高水平建设创新强市的战略布局中谋划推进。</w:t>
      </w:r>
    </w:p>
    <w:p>
      <w:pPr>
        <w:spacing w:lineRule="exact" w:line="560" w:after="200"/>
        <w:ind w:firstLine="480"/>
      </w:pPr>
      <w:r>
        <w:rPr>
          <w:rFonts w:ascii="仿宋_GB2312" w:hAnsi="仿宋_GB2312" w:eastAsia="仿宋_GB2312"/>
          <w:b w:val="0"/>
          <w:sz w:val="32"/>
        </w:rPr>
        <w:t>（信息来源：重庆日报7月24日《九龙坡：加快建设具有重庆辨识度、全国影响力的创新强区》  https://www.cqrb.cn/quxiantoutiao/2026-07-24/2733342_pc.html）</w:t>
      </w:r>
    </w:p>
    <w:p>
      <w:pPr>
        <w:spacing w:lineRule="exact" w:line="560" w:before="160" w:after="40"/>
        <w:ind w:firstLine="0"/>
      </w:pPr>
      <w:r>
        <w:rPr>
          <w:rFonts w:ascii="黑体" w:hAnsi="黑体" w:eastAsia="黑体"/>
          <w:b/>
          <w:sz w:val="32"/>
        </w:rPr>
        <w:t>四、解放日报：上海出台科技金融“20条”</w:t>
      </w:r>
    </w:p>
    <w:p>
      <w:pPr>
        <w:spacing w:lineRule="exact" w:line="560" w:after="40"/>
        <w:ind w:firstLine="480"/>
      </w:pPr>
      <w:r>
        <w:rPr>
          <w:rFonts w:ascii="仿宋_GB2312" w:hAnsi="仿宋_GB2312" w:eastAsia="仿宋_GB2312"/>
          <w:b w:val="0"/>
          <w:sz w:val="32"/>
        </w:rPr>
        <w:t>上海印发科技金融服务若干措施，以直接融资优势强化科技企业全生命周期服务。 一是提升早期投资领投定价能力。打造上海天使会升级版，率先探索“合格天使投资人”认定标准；加快设立上海社保科创基金，打造领投定价“风向标”；完善评估定价机制，汇聚早期科技企业研发、专利、人才数据。 二是构建股权投资接续机制。研究设立S母基金，引导S基金在沪集聚；增强私募股权与创业投资份额转让平台功能，探索将转让服务范围扩大至全国；健全科技并购生态体系，建设科技企业并购案例库和估值数据库。 三是发挥资本市场关键枢纽作用。推动科创板人工智能、低空经济等企业适用第五套标准上市审核指引，推动可控核聚变、具身智能、大模型等前沿领域企业在科创板上市；深化债券市场“科技板”建设，支持科技企业发行科创可转债。 四是丰富多元长期资本与建设直接融资试验区。拓展社保基金、保险资金等出资设立股权投资基金；鼓励“链主”企业开展CVC；依托股权投资集聚区及张江、大零号湾等规划建设直接融资试验区，构建全链条融资服务体系。 五是优化配套制度环境。分类设置政府投资基金管理要求，推动创业投资类基金作为耐心资本投早、投小、投硬科技，打造符合科创规律的“敏捷资本”。</w:t>
      </w:r>
    </w:p>
    <w:p>
      <w:pPr>
        <w:spacing w:lineRule="exact" w:line="560" w:after="200"/>
        <w:ind w:firstLine="480"/>
      </w:pPr>
      <w:r>
        <w:rPr>
          <w:rFonts w:ascii="仿宋_GB2312" w:hAnsi="仿宋_GB2312" w:eastAsia="仿宋_GB2312"/>
          <w:b w:val="0"/>
          <w:sz w:val="32"/>
        </w:rPr>
        <w:t>（信息来源：解放日报7月24日《上海市充分发挥直接融资功能 进一步加强科技金融服务的若干措施》  https://www.jfdaily.com/sgh/detail?id=4026105）</w:t>
      </w:r>
    </w:p>
    <w:p>
      <w:pPr>
        <w:spacing w:lineRule="exact" w:line="560" w:before="160" w:after="40"/>
        <w:ind w:firstLine="0"/>
      </w:pPr>
      <w:r>
        <w:rPr>
          <w:rFonts w:ascii="黑体" w:hAnsi="黑体" w:eastAsia="黑体"/>
          <w:b/>
          <w:sz w:val="32"/>
        </w:rPr>
        <w:t>五、北京青年报：北京出台智能体专项政策</w:t>
      </w:r>
    </w:p>
    <w:p>
      <w:pPr>
        <w:spacing w:lineRule="exact" w:line="560" w:after="40"/>
        <w:ind w:firstLine="480"/>
      </w:pPr>
      <w:r>
        <w:rPr>
          <w:rFonts w:ascii="仿宋_GB2312" w:hAnsi="仿宋_GB2312" w:eastAsia="仿宋_GB2312"/>
          <w:b w:val="0"/>
          <w:sz w:val="32"/>
        </w:rPr>
        <w:t>北京印发加快智能体引领发展若干措施，以十项举措率先培育智能经济新形态。 一是技术引领筑牢智能体根基。围绕在线学习、持续学习、自主进化等支持模型架构和训练范式革新；实施驾驭层工程，夯实上下文工程优化、任务持久化、多智能体协作等共性底座，支持打造“灵玑”等智能体基础设施。 二是应用引领加速原生应用落地。开发科学智能助手和平台、打造AI原生自主实验室；推动智能终端与智能体融合，研制新一代智能手机、智能眼镜等终端产品，鼓励芯片、模型、终端企业深度协同。 三是产业引领培育Token经济新范式。支持以OPC（一人公司）为代表的创业新模式，构建分层分类专业服务体系；培育Token即服务、智能体即服务、结果即服务等新商业模式，推动Token产品纳入中小企业服务券配券范围。 四是生态引领与要素保障并重。建设具有全球影响力的开源社区，支持开源自主互联协议与开发框架；支持建设“Token工厂”，加大算力券支持，探索发放Token券、智能体服务券；对关键技术攻关、共性平台和示范应用择优给予最高1亿元资金支持。 五是强化人才、算力、资本等关键要素保障。加大原生人才培养和高端人才培育，加强通用技能培训，支持金融机构开发智能体落地金融产品。</w:t>
      </w:r>
    </w:p>
    <w:p>
      <w:pPr>
        <w:spacing w:lineRule="exact" w:line="560" w:after="200"/>
        <w:ind w:firstLine="480"/>
      </w:pPr>
      <w:r>
        <w:rPr>
          <w:rFonts w:ascii="仿宋_GB2312" w:hAnsi="仿宋_GB2312" w:eastAsia="仿宋_GB2312"/>
          <w:b w:val="0"/>
          <w:sz w:val="32"/>
        </w:rPr>
        <w:t>（信息来源：北京青年报7月24日《北京前六月人工智能融资超950亿元》  https://so.html5.qq.com/page/real/search_news?docid=70000021_3946a62a22952152）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