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jc w:val="center"/>
      </w:pPr>
      <w:r>
        <w:rPr>
          <w:rFonts w:ascii="黑体" w:hAnsi="黑体" w:eastAsia="黑体"/>
          <w:b/>
          <w:sz w:val="32"/>
        </w:rPr>
        <w:t>7月22日媒体信息摘报</w:t>
      </w:r>
    </w:p>
    <w:p>
      <w:pPr>
        <w:spacing w:lineRule="exact" w:line="560"/>
        <w:jc w:val="center"/>
      </w:pPr>
      <w:r>
        <w:rPr>
          <w:rFonts w:ascii="仿宋_GB2312" w:hAnsi="仿宋_GB2312" w:eastAsia="仿宋_GB2312"/>
          <w:sz w:val="24"/>
        </w:rPr>
        <w:t>省级党报经济·科技·消费创新举措精选（福建省可借鉴）</w:t>
      </w:r>
    </w:p>
    <w:p>
      <w:pPr>
        <w:spacing w:lineRule="exact" w:line="560" w:after="120"/>
        <w:jc w:val="left"/>
      </w:pPr>
      <w:r>
        <w:rPr>
          <w:rFonts w:ascii="黑体" w:hAnsi="黑体" w:eastAsia="黑体"/>
          <w:b/>
          <w:sz w:val="32"/>
        </w:rPr>
        <w:t>"数字员工"助力企业全天候拓客</w:t>
      </w:r>
    </w:p>
    <w:p>
      <w:pPr>
        <w:spacing w:lineRule="exact" w:line="560" w:after="80"/>
      </w:pPr>
      <w:r>
        <w:rPr>
          <w:rFonts w:ascii="仿宋_GB2312" w:hAnsi="仿宋_GB2312" w:eastAsia="仿宋_GB2312"/>
          <w:sz w:val="32"/>
        </w:rPr>
        <w:t>广州独角兽企业探迹科技研发"Futern"全球销售智能体，以AI驱动帮助外贸企业低成本链接全球市场，相当于给每个外贸企业配备全天候无休的"数字员工"，自主跑完获客全流程。该智能体已服务超1000家外贸企业，其中广东占比超六成，覆盖轻工纺织、家电及设备、电子信息等核心产业集群。广州正加速打造"垂类模型之都"、人工智能应用示范高地。主要举措如下：</w:t>
      </w:r>
    </w:p>
    <w:p>
      <w:pPr>
        <w:spacing w:lineRule="exact" w:line="560" w:after="80"/>
      </w:pPr>
      <w:r>
        <w:rPr>
          <w:rFonts w:ascii="仿宋_GB2312" w:hAnsi="仿宋_GB2312" w:eastAsia="仿宋_GB2312"/>
          <w:sz w:val="32"/>
        </w:rPr>
        <w:t>一是建设垂类大模型矩阵。根据《广州市人工智能产业2026年工作要点》，2026年至2028年打造100+垂类大模型，并在技术创新、行业推广应用、企业培养、人才聚集、生态支撑等方面给予支持。</w:t>
      </w:r>
    </w:p>
    <w:p>
      <w:pPr>
        <w:spacing w:lineRule="exact" w:line="560" w:after="80"/>
      </w:pPr>
      <w:r>
        <w:rPr>
          <w:rFonts w:ascii="仿宋_GB2312" w:hAnsi="仿宋_GB2312" w:eastAsia="仿宋_GB2312"/>
          <w:sz w:val="32"/>
        </w:rPr>
        <w:t>二是出台全域AI应用行动方案。2026年4月《广东省加快推进人工智能全域全时全行业高水平应用行动方案》明确，依托AI实现全球客户挖掘、线索筛选、多语种客户跟进、全流程自动化商贸服务。</w:t>
      </w:r>
    </w:p>
    <w:p>
      <w:pPr>
        <w:spacing w:lineRule="exact" w:line="560" w:after="80"/>
      </w:pPr>
      <w:r>
        <w:rPr>
          <w:rFonts w:ascii="仿宋_GB2312" w:hAnsi="仿宋_GB2312" w:eastAsia="仿宋_GB2312"/>
          <w:sz w:val="32"/>
        </w:rPr>
        <w:t>三是构建产业数据底座。探迹科技搭建"旷湖"数据云，围绕企业、工厂、海关、标讯、产业等九大维度，将多源异构数据转化为覆盖3.5亿市场主体、20多个垂直领域、10万以上数据维度的体系；"太擎"平台打通企业CRM、ERP、生产系统等数据孤岛，将行业经验逻辑融入行业大模型。</w:t>
      </w:r>
    </w:p>
    <w:p>
      <w:pPr>
        <w:spacing w:lineRule="exact" w:line="560" w:after="80"/>
      </w:pPr>
      <w:r>
        <w:rPr>
          <w:rFonts w:ascii="仿宋_GB2312" w:hAnsi="仿宋_GB2312" w:eastAsia="仿宋_GB2312"/>
          <w:sz w:val="32"/>
        </w:rPr>
        <w:t>四是培育多智能体协同能力。从单点智能进阶至多智能体协同，推动AI从"会聊天"走向"真干活"，在细分行业实现可量化的拓客、转化与增收成果。</w:t>
      </w:r>
    </w:p>
    <w:p>
      <w:pPr>
        <w:spacing w:lineRule="exact" w:line="560" w:after="80"/>
      </w:pPr>
      <w:r>
        <w:rPr>
          <w:rFonts w:ascii="仿宋_GB2312" w:hAnsi="仿宋_GB2312" w:eastAsia="仿宋_GB2312"/>
          <w:sz w:val="32"/>
        </w:rPr>
        <w:t>五是强化算力效率导向。引导企业不再拼流量、算力、参数，而是比拼Token效率，即每消耗一份算力能换来多少有效线索、成交转化与营收增量；探迹大模型日均Token消耗量达1500亿，为国内大模型智能体企业应用算力消耗头部企业之一。</w:t>
      </w:r>
    </w:p>
    <w:p>
      <w:pPr>
        <w:spacing w:lineRule="exact" w:line="560" w:before="40" w:after="200"/>
      </w:pPr>
      <w:r>
        <w:rPr>
          <w:rFonts w:ascii="仿宋_GB2312" w:hAnsi="仿宋_GB2312" w:eastAsia="仿宋_GB2312"/>
          <w:sz w:val="28"/>
        </w:rPr>
        <w:t>（信息来源：南方日报7月22日《"数字员工"助力企业全天候拓客》  https://epaper.nfnews.com/nfdaily/html/202607/22/content_10176417.html?origin=4）</w:t>
      </w:r>
    </w:p>
    <w:p>
      <w:pPr>
        <w:spacing w:lineRule="exact" w:line="560" w:after="120"/>
        <w:jc w:val="left"/>
      </w:pPr>
      <w:r>
        <w:rPr>
          <w:rFonts w:ascii="黑体" w:hAnsi="黑体" w:eastAsia="黑体"/>
          <w:b/>
          <w:sz w:val="32"/>
        </w:rPr>
        <w:t>夏日避暑游升温 多元业态激发暑期文旅消费活力</w:t>
      </w:r>
    </w:p>
    <w:p>
      <w:pPr>
        <w:spacing w:lineRule="exact" w:line="560" w:after="80"/>
      </w:pPr>
      <w:r>
        <w:rPr>
          <w:rFonts w:ascii="仿宋_GB2312" w:hAnsi="仿宋_GB2312" w:eastAsia="仿宋_GB2312"/>
          <w:sz w:val="32"/>
        </w:rPr>
        <w:t>进入暑期，多地依托生态资源打造避暑休闲场景，带动文旅消费持续升温。重庆日报梳理晋祠博物馆、海南科技馆、贵州六盘水、江西大觉山、河北冰塘峪等地做法，呈现如下可借鉴的消费新场景与业态模式：</w:t>
      </w:r>
    </w:p>
    <w:p>
      <w:pPr>
        <w:spacing w:lineRule="exact" w:line="560" w:after="80"/>
      </w:pPr>
      <w:r>
        <w:rPr>
          <w:rFonts w:ascii="仿宋_GB2312" w:hAnsi="仿宋_GB2312" w:eastAsia="仿宋_GB2312"/>
          <w:sz w:val="32"/>
        </w:rPr>
        <w:t>一是做热"文博+纳凉"场景。山西晋祠博物馆依托98座古建筑与常年流淌泉水，夏季平均气温比城区低3℃，将古建参观与消暑纳凉结合；山西自然博物馆推出非洲草原、极地冰川动物标本与远古恐龙化石展览，满足青少年科普需求。</w:t>
      </w:r>
    </w:p>
    <w:p>
      <w:pPr>
        <w:spacing w:lineRule="exact" w:line="560" w:after="80"/>
      </w:pPr>
      <w:r>
        <w:rPr>
          <w:rFonts w:ascii="仿宋_GB2312" w:hAnsi="仿宋_GB2312" w:eastAsia="仿宋_GB2312"/>
          <w:sz w:val="32"/>
        </w:rPr>
        <w:t>二是升级暑期科普体验。海南科技馆将每周开放天数由五天增至六天，推出"科学奇妙夏"暑期科普嘉年华，配套四大亮点、六大主题、八大常态化活动，做到周周有主题、日日有活动，并紧扣中国航海日、全国生态日策划特色主题活动。</w:t>
      </w:r>
    </w:p>
    <w:p>
      <w:pPr>
        <w:spacing w:lineRule="exact" w:line="560" w:after="80"/>
      </w:pPr>
      <w:r>
        <w:rPr>
          <w:rFonts w:ascii="仿宋_GB2312" w:hAnsi="仿宋_GB2312" w:eastAsia="仿宋_GB2312"/>
          <w:sz w:val="32"/>
        </w:rPr>
        <w:t>三是深化文旅体融合。贵州六盘水夏季平均气温约19℃，将单一比赛日拓展为持续一个月的"马拉松赛季"，开发300多条攀岩线路，并完善旅居配套，把短期人流转化为常住游客；入夏以来全市接待游客746.05万人次，同比增长8.35%。</w:t>
      </w:r>
    </w:p>
    <w:p>
      <w:pPr>
        <w:spacing w:lineRule="exact" w:line="560" w:after="80"/>
      </w:pPr>
      <w:r>
        <w:rPr>
          <w:rFonts w:ascii="仿宋_GB2312" w:hAnsi="仿宋_GB2312" w:eastAsia="仿宋_GB2312"/>
          <w:sz w:val="32"/>
        </w:rPr>
        <w:t>四是做精亲水纳凉业态。江西大觉山漂流累计接待游客100.2万人次，单日最高1.8万人次，核心漂流业态带动景区旅游综合收入同比增长超11.03%；河北冰塘峪将避暑康养、自然观光、长城研学融为一体，激活近郊旅游市场。</w:t>
      </w:r>
    </w:p>
    <w:p>
      <w:pPr>
        <w:spacing w:lineRule="exact" w:line="560" w:before="40" w:after="200"/>
      </w:pPr>
      <w:r>
        <w:rPr>
          <w:rFonts w:ascii="仿宋_GB2312" w:hAnsi="仿宋_GB2312" w:eastAsia="仿宋_GB2312"/>
          <w:sz w:val="28"/>
        </w:rPr>
        <w:t>（信息来源：重庆日报7月22日《夏日避暑游升温 多元业态激发暑期文旅消费活力》  https://www.cqrb.cn/shishi/2026-07-22/2731293_pc.html）</w:t>
      </w:r>
    </w:p>
    <w:p>
      <w:pPr>
        <w:spacing w:lineRule="exact" w:line="560" w:after="120"/>
        <w:jc w:val="left"/>
      </w:pPr>
      <w:r>
        <w:rPr>
          <w:rFonts w:ascii="黑体" w:hAnsi="黑体" w:eastAsia="黑体"/>
          <w:b/>
          <w:sz w:val="32"/>
        </w:rPr>
        <w:t>新旧之变重塑产业之势：理性看待湖南经济半年报（二）</w:t>
      </w:r>
    </w:p>
    <w:p>
      <w:pPr>
        <w:spacing w:lineRule="exact" w:line="560" w:after="80"/>
      </w:pPr>
      <w:r>
        <w:rPr>
          <w:rFonts w:ascii="仿宋_GB2312" w:hAnsi="仿宋_GB2312" w:eastAsia="仿宋_GB2312"/>
          <w:sz w:val="32"/>
        </w:rPr>
        <w:t>湖南在推动新旧动能转换中，坚持存量升级与增量培育两手抓，推出一系列产业创新举措：</w:t>
      </w:r>
    </w:p>
    <w:p>
      <w:pPr>
        <w:spacing w:lineRule="exact" w:line="560" w:after="80"/>
      </w:pPr>
      <w:r>
        <w:rPr>
          <w:rFonts w:ascii="仿宋_GB2312" w:hAnsi="仿宋_GB2312" w:eastAsia="仿宋_GB2312"/>
          <w:sz w:val="32"/>
        </w:rPr>
        <w:t>一是设立"金芙蓉"千亿级产业基金矩阵。基金矩阵投早、投小、投硬科技，在种子期即介入，而非等待成果成熟"摘桃子"，重点支持未来产业与硬科技项目。</w:t>
      </w:r>
    </w:p>
    <w:p>
      <w:pPr>
        <w:spacing w:lineRule="exact" w:line="560" w:after="80"/>
      </w:pPr>
      <w:r>
        <w:rPr>
          <w:rFonts w:ascii="仿宋_GB2312" w:hAnsi="仿宋_GB2312" w:eastAsia="仿宋_GB2312"/>
          <w:sz w:val="32"/>
        </w:rPr>
        <w:t>二是全面布局"人工智能+"。组建创新联合体攻坚核心技术，广聚人才、厚植生态；目前全省总算力突破1.4万PF，集聚400多家人工智能企业，21个行业大模型完成落地验证。</w:t>
      </w:r>
    </w:p>
    <w:p>
      <w:pPr>
        <w:spacing w:lineRule="exact" w:line="560" w:after="80"/>
      </w:pPr>
      <w:r>
        <w:rPr>
          <w:rFonts w:ascii="仿宋_GB2312" w:hAnsi="仿宋_GB2312" w:eastAsia="仿宋_GB2312"/>
          <w:sz w:val="32"/>
        </w:rPr>
        <w:t>三是建设科技成果转化中试基地。全省布局55家科技成果转化中试基地，让新技术先小批量试跑、全流程验证，降低企业风险、缩短周期，并敞开工业、城市、民生应用场景供市场检验。</w:t>
      </w:r>
    </w:p>
    <w:p>
      <w:pPr>
        <w:spacing w:lineRule="exact" w:line="560" w:after="80"/>
      </w:pPr>
      <w:r>
        <w:rPr>
          <w:rFonts w:ascii="仿宋_GB2312" w:hAnsi="仿宋_GB2312" w:eastAsia="仿宋_GB2312"/>
          <w:sz w:val="32"/>
        </w:rPr>
        <w:t>四是培育专业技术经理人队伍。在岳麓山工业创新中心组建上百人技术经理人团队常年泡在产业一线，左手牵高校、右手连企业，上半年对接成果200余项、落地转化37个、合同金额超4亿元。</w:t>
      </w:r>
    </w:p>
    <w:p>
      <w:pPr>
        <w:spacing w:lineRule="exact" w:line="560" w:after="80"/>
      </w:pPr>
      <w:r>
        <w:rPr>
          <w:rFonts w:ascii="仿宋_GB2312" w:hAnsi="仿宋_GB2312" w:eastAsia="仿宋_GB2312"/>
          <w:sz w:val="32"/>
        </w:rPr>
        <w:t>五是推倒产学研行政围墙。岳麓山实验室推倒高校、科研院所、企业之间的行政围墙，让基础研究与产业需求"面对面"；支持企业带着难题"进"高校、专家带着成果"进"企业，谁有本事谁揭榜。</w:t>
      </w:r>
    </w:p>
    <w:p>
      <w:pPr>
        <w:spacing w:lineRule="exact" w:line="560" w:after="80"/>
      </w:pPr>
      <w:r>
        <w:rPr>
          <w:rFonts w:ascii="仿宋_GB2312" w:hAnsi="仿宋_GB2312" w:eastAsia="仿宋_GB2312"/>
          <w:sz w:val="32"/>
        </w:rPr>
        <w:t>六是推动传统产业数智化改造。支持老工业企业通过数智化改造提升产能，特变电工衡变公司数智化改造后产能翻6倍、入选国家"卓越级智能工厂"；中联重科布局300多条智能制造产线、2000多台工业机器人，AI应用率超80%。</w:t>
      </w:r>
    </w:p>
    <w:p>
      <w:pPr>
        <w:spacing w:lineRule="exact" w:line="560" w:before="40" w:after="200"/>
      </w:pPr>
      <w:r>
        <w:rPr>
          <w:rFonts w:ascii="仿宋_GB2312" w:hAnsi="仿宋_GB2312" w:eastAsia="仿宋_GB2312"/>
          <w:sz w:val="28"/>
        </w:rPr>
        <w:t>（信息来源：湖南日报7月22日《新旧之变重塑产业之势：理性看待湖南经济半年报（二）》  https://new.qq.com/rain/a/LNK2026072203069400?refer=cp_1009）</w:t>
      </w:r>
    </w:p>
    <w:p>
      <w:pPr>
        <w:spacing w:lineRule="exact" w:line="560" w:after="120"/>
        <w:jc w:val="left"/>
      </w:pPr>
      <w:r>
        <w:rPr>
          <w:rFonts w:ascii="黑体" w:hAnsi="黑体" w:eastAsia="黑体"/>
          <w:b/>
          <w:sz w:val="32"/>
        </w:rPr>
        <w:t>胖东来经验全省推广！河南要打造一批消费新场景</w:t>
      </w:r>
    </w:p>
    <w:p>
      <w:pPr>
        <w:spacing w:lineRule="exact" w:line="560" w:after="80"/>
      </w:pPr>
      <w:r>
        <w:rPr>
          <w:rFonts w:ascii="仿宋_GB2312" w:hAnsi="仿宋_GB2312" w:eastAsia="仿宋_GB2312"/>
          <w:sz w:val="32"/>
        </w:rPr>
        <w:t>7月21日，河南省政府新闻办召开新闻发布会，介绍下半年巩固拓展经济稳中向好势头有关举措。在促进消费扩围提质方面，河南推出以下具体举措：</w:t>
      </w:r>
    </w:p>
    <w:p>
      <w:pPr>
        <w:spacing w:lineRule="exact" w:line="560" w:after="80"/>
      </w:pPr>
      <w:r>
        <w:rPr>
          <w:rFonts w:ascii="仿宋_GB2312" w:hAnsi="仿宋_GB2312" w:eastAsia="仿宋_GB2312"/>
          <w:sz w:val="32"/>
        </w:rPr>
        <w:t>一是复制推广胖东来典型经验。加大消费新业态新模式新场景培育力度，复制推广胖东来典型经验，打造一批带动面广、显示度高的消费新场景。</w:t>
      </w:r>
    </w:p>
    <w:p>
      <w:pPr>
        <w:spacing w:lineRule="exact" w:line="560" w:after="80"/>
      </w:pPr>
      <w:r>
        <w:rPr>
          <w:rFonts w:ascii="仿宋_GB2312" w:hAnsi="仿宋_GB2312" w:eastAsia="仿宋_GB2312"/>
          <w:sz w:val="32"/>
        </w:rPr>
        <w:t>二是开展"乐享河南"暑期消费季。制定进一步促进消费政策措施，开展"乐享河南"暑期消费季活动，提升消费品以旧换新活动质效。</w:t>
      </w:r>
    </w:p>
    <w:p>
      <w:pPr>
        <w:spacing w:lineRule="exact" w:line="560" w:after="80"/>
      </w:pPr>
      <w:r>
        <w:rPr>
          <w:rFonts w:ascii="仿宋_GB2312" w:hAnsi="仿宋_GB2312" w:eastAsia="仿宋_GB2312"/>
          <w:sz w:val="32"/>
        </w:rPr>
        <w:t>三是升级消费品以旧换新补贴。对汽车报废更新、置换更新的个人消费者，按比例分别最高给予2万元、1.5万元补贴；对购买冰箱、洗衣机、电视、空调、电脑、热水器等6类家电，最高补贴1500元；手机、平板、智能手表手环、智能眼镜等4类数码智能产品，最高补贴500元，预计再惠及消费者超千万人次。</w:t>
      </w:r>
    </w:p>
    <w:p>
      <w:pPr>
        <w:spacing w:lineRule="exact" w:line="560" w:after="80"/>
      </w:pPr>
      <w:r>
        <w:rPr>
          <w:rFonts w:ascii="仿宋_GB2312" w:hAnsi="仿宋_GB2312" w:eastAsia="仿宋_GB2312"/>
          <w:sz w:val="32"/>
        </w:rPr>
        <w:t>四是打造文旅消费主题活动。针对暑期、中秋国庆假期等旅游旺季，深入开展"老家河南"系列主题活动，推出一批文博研学、红色研学、潮流观演等精品线路，实施入境旅游三年行动。</w:t>
      </w:r>
    </w:p>
    <w:p>
      <w:pPr>
        <w:spacing w:lineRule="exact" w:line="560" w:after="80"/>
      </w:pPr>
      <w:r>
        <w:rPr>
          <w:rFonts w:ascii="仿宋_GB2312" w:hAnsi="仿宋_GB2312" w:eastAsia="仿宋_GB2312"/>
          <w:sz w:val="32"/>
        </w:rPr>
        <w:t>五是培育夜经济集聚区。对当年认定的省级夜经济集聚区，给予其所在县（市、区）不超过500万元奖励，打造具有河南特色的夜经济品牌。</w:t>
      </w:r>
    </w:p>
    <w:p>
      <w:pPr>
        <w:spacing w:lineRule="exact" w:line="560" w:after="80"/>
      </w:pPr>
      <w:r>
        <w:rPr>
          <w:rFonts w:ascii="仿宋_GB2312" w:hAnsi="仿宋_GB2312" w:eastAsia="仿宋_GB2312"/>
          <w:sz w:val="32"/>
        </w:rPr>
        <w:t>六是加快零售业创新发展。推广胖东来等零售企业好的经验做法，鼓励百货店和购物中心开展"一店一策"改造；推动郑州、洛阳消费新业态新模式新场景试点项目建设，培育多元消费场景。</w:t>
      </w:r>
    </w:p>
    <w:p>
      <w:pPr>
        <w:spacing w:lineRule="exact" w:line="560" w:before="40" w:after="200"/>
      </w:pPr>
      <w:r>
        <w:rPr>
          <w:rFonts w:ascii="仿宋_GB2312" w:hAnsi="仿宋_GB2312" w:eastAsia="仿宋_GB2312"/>
          <w:sz w:val="28"/>
        </w:rPr>
        <w:t>（信息来源：河南日报7月22日《胖东来经验全省推广！河南要打造一批消费新场景》  https://so.html5.qq.com/page/real/search_news?docid=70000021_9306a5f13b559052）</w:t>
      </w:r>
    </w:p>
    <w:p>
      <w:pPr>
        <w:spacing w:lineRule="exact" w:line="560" w:after="120"/>
        <w:jc w:val="left"/>
      </w:pPr>
      <w:r>
        <w:rPr>
          <w:rFonts w:ascii="黑体" w:hAnsi="黑体" w:eastAsia="黑体"/>
          <w:b/>
          <w:sz w:val="32"/>
        </w:rPr>
        <w:t>北京布局建设Token工厂 力争下半年新增智能算力5万P</w:t>
      </w:r>
    </w:p>
    <w:p>
      <w:pPr>
        <w:spacing w:lineRule="exact" w:line="560" w:after="80"/>
      </w:pPr>
      <w:r>
        <w:rPr>
          <w:rFonts w:ascii="仿宋_GB2312" w:hAnsi="仿宋_GB2312" w:eastAsia="仿宋_GB2312"/>
          <w:sz w:val="32"/>
        </w:rPr>
        <w:t>7月21日，北京市经济和信息化局发布消息，下半年将制定Token经济发展政策，围绕Token生产、分发和应用等关键环节布局，推动人工智能全域赋能。主要举措如下：</w:t>
      </w:r>
    </w:p>
    <w:p>
      <w:pPr>
        <w:spacing w:lineRule="exact" w:line="560" w:after="80"/>
      </w:pPr>
      <w:r>
        <w:rPr>
          <w:rFonts w:ascii="仿宋_GB2312" w:hAnsi="仿宋_GB2312" w:eastAsia="仿宋_GB2312"/>
          <w:sz w:val="32"/>
        </w:rPr>
        <w:t>一是制定Token经济发展政策。下半年出台Token经济发展专项政策，明确产业发展路径与支持方向。</w:t>
      </w:r>
    </w:p>
    <w:p>
      <w:pPr>
        <w:spacing w:lineRule="exact" w:line="560" w:after="80"/>
      </w:pPr>
      <w:r>
        <w:rPr>
          <w:rFonts w:ascii="仿宋_GB2312" w:hAnsi="仿宋_GB2312" w:eastAsia="仿宋_GB2312"/>
          <w:sz w:val="32"/>
        </w:rPr>
        <w:t>二是布局建设Token工厂与分发平台。围绕Token生产、分发和应用等关键环节，布局建设Token工厂、Token分发平台；北京数据集团旗下京算公司为北京首家国资词元工厂主体，浪潮集团为合作方之一，浪潮信息提供硬件与软件底座。</w:t>
      </w:r>
    </w:p>
    <w:p>
      <w:pPr>
        <w:spacing w:lineRule="exact" w:line="560" w:after="80"/>
      </w:pPr>
      <w:r>
        <w:rPr>
          <w:rFonts w:ascii="仿宋_GB2312" w:hAnsi="仿宋_GB2312" w:eastAsia="仿宋_GB2312"/>
          <w:sz w:val="32"/>
        </w:rPr>
        <w:t>三是推动重点行业创新应用。政策推动Token在工业、教育、文旅等重点领域创新应用，加速人工智能全域赋能。</w:t>
      </w:r>
    </w:p>
    <w:p>
      <w:pPr>
        <w:spacing w:lineRule="exact" w:line="560" w:after="80"/>
      </w:pPr>
      <w:r>
        <w:rPr>
          <w:rFonts w:ascii="仿宋_GB2312" w:hAnsi="仿宋_GB2312" w:eastAsia="仿宋_GB2312"/>
          <w:sz w:val="32"/>
        </w:rPr>
        <w:t>四是提升智能算力供给能力。上半年全市新增智能算力2.2万P、供给规模达8.2万P；下半年打造"超级节点+行业节点"支撑体系，力争新增智能算力5万P，年内算力总规模突破13万P。</w:t>
      </w:r>
    </w:p>
    <w:p>
      <w:pPr>
        <w:spacing w:lineRule="exact" w:line="560" w:after="80"/>
      </w:pPr>
      <w:r>
        <w:rPr>
          <w:rFonts w:ascii="仿宋_GB2312" w:hAnsi="仿宋_GB2312" w:eastAsia="仿宋_GB2312"/>
          <w:sz w:val="32"/>
        </w:rPr>
        <w:t>五是夯实国资算力底座。以北京数据集团旗下京算公司为首家国资词元工厂主体，联合浪潮集团等合作方，构建"硬件+软件+数据"一体化底座，为Token生产分发提供稳定供给。</w:t>
      </w:r>
    </w:p>
    <w:p>
      <w:pPr>
        <w:spacing w:lineRule="exact" w:line="560" w:before="40" w:after="200"/>
      </w:pPr>
      <w:r>
        <w:rPr>
          <w:rFonts w:ascii="仿宋_GB2312" w:hAnsi="仿宋_GB2312" w:eastAsia="仿宋_GB2312"/>
          <w:sz w:val="28"/>
        </w:rPr>
        <w:t>（信息来源：北京日报7月22日《北京布局建设Token工厂 力争下半年新增智能算力5万P》  http://view.inews.qq.com/a/20260722A01LE400）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仿宋_GB2312" w:hAnsi="仿宋_GB2312" w:eastAsia="仿宋_GB2312"/>
      <w:sz w:val="3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