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560" w:lineRule="exact"/>
        <w:jc w:val="center"/>
      </w:pPr>
      <w:r>
        <w:rPr>
          <w:rFonts w:ascii="黑体" w:eastAsia="黑体" w:hAnsi="黑体"/>
          <w:b/>
          <w:bCs/>
          <w:sz w:val="32"/>
          <w:szCs w:val="32"/>
        </w:rPr>
        <w:t xml:space="preserve">媒体信息摘报</w:t>
      </w:r>
    </w:p>
    <w:p>
      <w:pPr>
        <w:spacing w:after="480" w:line="560" w:lineRule="exact"/>
        <w:jc w:val="center"/>
      </w:pPr>
      <w:r>
        <w:rPr>
          <w:rFonts w:ascii="仿宋_GB2312" w:eastAsia="仿宋_GB2312" w:hAnsi="仿宋_GB2312"/>
          <w:sz w:val="32"/>
          <w:szCs w:val="32"/>
        </w:rPr>
        <w:t xml:space="preserve">（2026年7月23日·省级党报经济·科技·消费创新举措精选）</w:t>
      </w:r>
    </w:p>
    <w:p>
      <w:pPr>
        <w:spacing w:after="160" w:before="240" w:line="560" w:lineRule="exact"/>
      </w:pPr>
      <w:r>
        <w:rPr>
          <w:rFonts w:ascii="黑体" w:eastAsia="黑体" w:hAnsi="黑体"/>
          <w:b/>
          <w:bCs/>
          <w:sz w:val="32"/>
          <w:szCs w:val="32"/>
        </w:rPr>
        <w:t xml:space="preserve">1、成都"人工智能+"行动方案出台</w:t>
      </w:r>
    </w:p>
    <w:p>
      <w:pPr>
        <w:spacing w:after="120" w:line="560" w:lineRule="exact"/>
      </w:pPr>
      <w:r>
        <w:rPr>
          <w:rFonts w:ascii="仿宋_GB2312" w:eastAsia="仿宋_GB2312" w:hAnsi="仿宋_GB2312"/>
          <w:sz w:val="32"/>
          <w:szCs w:val="32"/>
        </w:rPr>
        <w:t xml:space="preserve">《成都市深入实施"人工智能+"行动方案》于7月22日正式印发。方案全面落实"四大发展战略"，围绕"五中心五地"发展定位，聚焦"9+9+10"现代化产业体系提能升级，构建"6+N+1"工作体系，推动"人工智能+"在科学研究、产业发展、消费提质、民生福祉、治理能力、协同合作等6大领域"N"个细分方向重点任务落地，打造一批"人工智能+"标杆应用场景，加快建设具有全球影响力的人工智能全场景应用标杆城市。具体举措如下：一是构建"6+N+1"工作体系。以科学研究、产业发展、消费提质、民生福祉、治理能力、协同合作6大领域为牵引，细分"N"个具体方向任务，打造1批可复制推广的"人工智能+"标杆应用场景，形成全场景应用框架。二是聚焦"9+9+10"现代化产业体系提能升级。将人工智能深度嵌入成都重点产业体系，推动产业数字化、智能化转型，以"人工智能+"赋能传统产业改造提升与新兴产业培育壮大。三是推动"人工智能+"科学研究。依托在蓉高校院所与科创平台，以人工智能辅助科研攻关、文献分析与实验模拟，提升科研效率与创新产出。四是深化"人工智能+"产业发展。聚焦智能网联系统核心环节，重点开发智能座舱、操作系统、车载终端等关键软硬件产品，推动整车企业加快L3级以上智能网联汽车整车研发量产。五是拓展"人工智能+"消费提质与民生福祉。以人工智能丰富消费场景、升级服务体验，在医疗、教育、文旅等领域推出智能应用，提升公共服务智能化水平。六是强化协同合作。推动区域间人工智能产业协同与开放合作，链接创新资源与产业需求。</w:t>
      </w:r>
    </w:p>
    <w:p>
      <w:pPr>
        <w:spacing w:after="240" w:line="560" w:lineRule="exact"/>
      </w:pPr>
      <w:r>
        <w:rPr>
          <w:rFonts w:ascii="仿宋_GB2312" w:eastAsia="仿宋_GB2312" w:hAnsi="仿宋_GB2312"/>
          <w:sz w:val="32"/>
          <w:szCs w:val="32"/>
        </w:rPr>
        <w:t xml:space="preserve">（信息来源：四川日报7月23日《成都"人工智能+"行动方案出台》  https://new.qq.com/rain/a/20260723A035NZ00）</w:t>
      </w:r>
    </w:p>
    <w:p>
      <w:pPr>
        <w:spacing w:after="160" w:before="240" w:line="560" w:lineRule="exact"/>
      </w:pPr>
      <w:r>
        <w:rPr>
          <w:rFonts w:ascii="黑体" w:eastAsia="黑体" w:hAnsi="黑体"/>
          <w:b/>
          <w:bCs/>
          <w:sz w:val="32"/>
          <w:szCs w:val="32"/>
        </w:rPr>
        <w:t xml:space="preserve">2、天津消费市场精彩"出圈"</w:t>
      </w:r>
    </w:p>
    <w:p>
      <w:pPr>
        <w:spacing w:after="120" w:line="560" w:lineRule="exact"/>
      </w:pPr>
      <w:r>
        <w:rPr>
          <w:rFonts w:ascii="仿宋_GB2312" w:eastAsia="仿宋_GB2312" w:hAnsi="仿宋_GB2312"/>
          <w:sz w:val="32"/>
          <w:szCs w:val="32"/>
        </w:rPr>
        <w:t xml:space="preserve">今年以来，天津围绕首发经济、以旧换新、有奖发票、即时零售等打出政策"组合拳"，推动商旅文体深度融合，各类消费新场景新模式接连亮相。具体举措如下：一是做强首发经济。推动首店、首展、旗舰店落地，天津大悦城今年上半年已落地35家城市级首店、旗舰店，覆盖餐饮、休闲食品、美妆服饰、二次元文创、黄金珠宝等业态，以首店引流带动商场客流结构升级与业态优化。二是加力扩围消费品以旧换新。年初推出2026年消费品以旧换新补贴实施细则，围绕汽车、家电、数码和智能产品消费给予补贴，其中手机类售价6000元以内的可享受15%补贴、最高优惠500元；上半年消费者累计申请补贴13.4亿元，带动相关商品销售140.5亿元。三是实施有奖发票促消费活动。开展2026"津乐购"有奖发票活动，截至7月上旬参与人数突破400万，各平台上传发票达2400万张，5.6万家经营主体参与，以发票激励拉动消费。四是发展即时零售等新业态。推动新零售模式落地，上半年即时零售主要品牌在津零售额同比增长76.8%，以线上线下融合提升消费便利度。五是盘活存量载体打造融合消费场景。优化商圈业态，依托演艺场馆、闲置洋楼等资源，推出票根优惠、主题场景、快闪活动、粉丝应援街区等，以服务消费引流带动商品消费，构建商旅文体融合消费生态。</w:t>
      </w:r>
    </w:p>
    <w:p>
      <w:pPr>
        <w:spacing w:after="240" w:line="560" w:lineRule="exact"/>
      </w:pPr>
      <w:r>
        <w:rPr>
          <w:rFonts w:ascii="仿宋_GB2312" w:eastAsia="仿宋_GB2312" w:hAnsi="仿宋_GB2312"/>
          <w:sz w:val="32"/>
          <w:szCs w:val="32"/>
        </w:rPr>
        <w:t xml:space="preserve">（信息来源：天津日报7月23日《天津消费市场精彩"出圈"》  https://finance.sina.com.cn/jjxw/2026-07-23/doc-iniitqxq7778244.shtml）</w:t>
      </w:r>
    </w:p>
    <w:p>
      <w:pPr>
        <w:spacing w:after="160" w:before="240" w:line="560" w:lineRule="exact"/>
      </w:pPr>
      <w:r>
        <w:rPr>
          <w:rFonts w:ascii="黑体" w:eastAsia="黑体" w:hAnsi="黑体"/>
          <w:b/>
          <w:bCs/>
          <w:sz w:val="32"/>
          <w:szCs w:val="32"/>
        </w:rPr>
        <w:t xml:space="preserve">3、辽宁出实招支持海洋经济建设</w:t>
      </w:r>
    </w:p>
    <w:p>
      <w:pPr>
        <w:spacing w:after="120" w:line="560" w:lineRule="exact"/>
      </w:pPr>
      <w:r>
        <w:rPr>
          <w:rFonts w:ascii="仿宋_GB2312" w:eastAsia="仿宋_GB2312" w:hAnsi="仿宋_GB2312"/>
          <w:sz w:val="32"/>
          <w:szCs w:val="32"/>
        </w:rPr>
        <w:t xml:space="preserve">7月22日，辽宁省召开全省海洋经济发展大会，推出一批支持海洋经济高质量发展的新举措，强化创新驱动、加快海洋关键核心技术攻关、拓宽产业资金渠道。具体举措如下：一是支持企业牵头承担海洋科研攻关。对企业牵头承担高技术船舶、高端海洋装备等技术攻关项目，给予重点科研攻关任务不低于100万元支持；促进海洋科技成果转化，对企业通过技术转让等方式承接海洋重大科技成果落地转化的，给予不超过200万元支持。二是支持国家级涉海科创平台建设。对批复的国家级涉海科创平台，给予不低于500万元的建设与运行经费支持，强化海洋创新策源能力。三是设立海洋经济专项基金。依托新质生产力母基金，推动设立海洋经济专项基金，引导社会资本投入海洋产业，支持企业发行蓝色债券。四是实施蓝色债券贴息。企业发行蓝色债券最高可按一年期贷款市场报价利率（LPR）的80%申请贴息，单个项目年度贴息最高不超过500万元，同一企业年度累计贴息上限1000万元。五是对渔港经济区给予资金支持。对符合条件的渔港经济区给予1.5亿至2亿元支持，推动海洋产业集聚发展。</w:t>
      </w:r>
    </w:p>
    <w:p>
      <w:pPr>
        <w:spacing w:after="240" w:line="560" w:lineRule="exact"/>
      </w:pPr>
      <w:r>
        <w:rPr>
          <w:rFonts w:ascii="仿宋_GB2312" w:eastAsia="仿宋_GB2312" w:hAnsi="仿宋_GB2312"/>
          <w:sz w:val="32"/>
          <w:szCs w:val="32"/>
        </w:rPr>
        <w:t xml:space="preserve">（信息来源：辽宁日报7月23日《辽宁出实招支持海洋经济建设》  https://www.163.com/dy/article/L2GNBPDJ0514DG98.html）</w:t>
      </w:r>
    </w:p>
    <w:p>
      <w:pPr>
        <w:spacing w:after="160" w:before="240" w:line="560" w:lineRule="exact"/>
      </w:pPr>
      <w:r>
        <w:rPr>
          <w:rFonts w:ascii="黑体" w:eastAsia="黑体" w:hAnsi="黑体"/>
          <w:b/>
          <w:bCs/>
          <w:sz w:val="32"/>
          <w:szCs w:val="32"/>
        </w:rPr>
        <w:t xml:space="preserve">4、北京推出一揽子措施支持"一人成军"</w:t>
      </w:r>
    </w:p>
    <w:p>
      <w:pPr>
        <w:spacing w:after="120" w:line="560" w:lineRule="exact"/>
      </w:pPr>
      <w:r>
        <w:rPr>
          <w:rFonts w:ascii="仿宋_GB2312" w:eastAsia="仿宋_GB2312" w:hAnsi="仿宋_GB2312"/>
          <w:sz w:val="32"/>
          <w:szCs w:val="32"/>
        </w:rPr>
        <w:t xml:space="preserve">近日，北京市经济和信息化局发布《支持人工智能OPC创新发展行动方案》，针对超级经济个体（OPC）提出一揽子支持措施，培育一批AI驱动、小而精、专而强的创新主体。具体举措如下：一是支持创办OPC企业。支持创办智能体开发、AIGC产品创制、大模型微调、AI行业落地应用等领域的OPC企业，依托中小企业公共服务平台打造"OPC开办服务专区"，提供开办指引、社区入驻、政策辅导和订单对接等全链条服务，开展OPC创业"校园行""园区行""企业行"鼓励科技人才创办OPC。二是建设OPC成长社区并给予资金支持。出台市级OPC成长社区建设指引，支持社区自建词元（Token）服务平台或链接智算服务机构、数字员工服务平台，为OPC企业提供AI工具集、高质量数据集、优惠算力、低成本办公空间、创业服务包等配套服务，对服务成效突出的OPC社区最高给予200万元资金支持。三是发放"全栈资源包"。通过市级OPC成长社区为入驻OPC企业发放"全栈资源包"，入驻企业可免费享受3个月的模型使用、智能算力使用、数据代采赠送等服务，单个企业合计最高不超过10万元；OPC成长社区可按季度申请兑付，每个社区每年最高不超过1000万元。四是设立OPC微专业。支持高校依托学科特色设立OPC微专业，聚焦"人工智能大模型工程应用+OPC创业实践"，构建"AI通识+政策解读+场景实战"课程体系，推行校企"双师制"教学，打造校企政合作共建实训基地。五是强化金融与合规服务。在北京市企业融资综合信用服务平台设立"OPC金融服务专区"，联合金融机构开发专属信贷产品"OPC贷"；编制OPC合规指引，开展"合规服务进社区"活动；举办"创赢未来"OPC专场路演，对路演通过项目最高给予1000万元支持，在"创客北京""京彩大创"等赛事设立OPC专项赛道、对优质项目最高给予50万元支持。</w:t>
      </w:r>
    </w:p>
    <w:p>
      <w:pPr>
        <w:spacing w:after="240" w:line="560" w:lineRule="exact"/>
      </w:pPr>
      <w:r>
        <w:rPr>
          <w:rFonts w:ascii="仿宋_GB2312" w:eastAsia="仿宋_GB2312" w:hAnsi="仿宋_GB2312"/>
          <w:sz w:val="32"/>
          <w:szCs w:val="32"/>
        </w:rPr>
        <w:t xml:space="preserve">（信息来源：北京日报7月21日《北京推出一揽子措施支持"一人成军"》  https://www.toutiao.com/article/7664747805814129194/）</w:t>
      </w:r>
    </w:p>
    <w:p>
      <w:pPr>
        <w:spacing w:after="160" w:before="240" w:line="560" w:lineRule="exact"/>
      </w:pPr>
      <w:r>
        <w:rPr>
          <w:rFonts w:ascii="黑体" w:eastAsia="黑体" w:hAnsi="黑体"/>
          <w:b/>
          <w:bCs/>
          <w:sz w:val="32"/>
          <w:szCs w:val="32"/>
        </w:rPr>
        <w:t xml:space="preserve">5、广东印发"春雨行动"方案 促进医疗器械临床创新成果转化</w:t>
      </w:r>
    </w:p>
    <w:p>
      <w:pPr>
        <w:spacing w:after="120" w:line="560" w:lineRule="exact"/>
      </w:pPr>
      <w:r>
        <w:rPr>
          <w:rFonts w:ascii="仿宋_GB2312" w:eastAsia="仿宋_GB2312" w:hAnsi="仿宋_GB2312"/>
          <w:sz w:val="32"/>
          <w:szCs w:val="32"/>
        </w:rPr>
        <w:t xml:space="preserve">日前，广东省药监局、省工业和信息化厅、省卫生健康委、省医保局联合印发《广东省推进医疗器械临床创新成果转化"春雨行动"实施方案（2026—2028年）》，打通临床创新到产品转化的通道。具体举措如下：一是建立常态化临床创新成果征集机制。明确每年征集300项以上临床创新成果，至2028年底累计征集900项以上纳入"春雨行动"项目清单，筛选一批符合条件的重点转化项目，形成临床创新成果储备库。二是开展注册辅导服务。每年开展12次以上医疗机构临床创新成果转化注册辅导会，为医疗机构和临床医生提供产品注册路径、技术要求、申报材料等方面的辅导，降低临床创新成果转化的制度性门槛。三是推动重点转化项目产品定型。至2028年底推动150个以上重点转化项目完成产品定型，帮助临床创新成果从样机、方案走向可量产的成熟产品。四是服务重点项目进入注册环节。至2028年底服务100个以上重点转化项目进入注册环节，对接审评审批资源，加快临床创新医疗器械上市进程。五是强化四部门协同推进。由省药监局牵头，联合省工业和信息化厅、省卫生健康委、省医保局共同印发实施方案，在2026—2028年三年内系统推进医疗器械临床创新成果转化，构建"临床出题、部门协同、企业转化"的工作机制。</w:t>
      </w:r>
    </w:p>
    <w:p>
      <w:pPr>
        <w:spacing w:after="240" w:line="560" w:lineRule="exact"/>
      </w:pPr>
      <w:r>
        <w:rPr>
          <w:rFonts w:ascii="仿宋_GB2312" w:eastAsia="仿宋_GB2312" w:hAnsi="仿宋_GB2312"/>
          <w:sz w:val="32"/>
          <w:szCs w:val="32"/>
        </w:rPr>
        <w:t xml:space="preserve">（信息来源：南方日报7月23日《广东印发"春雨行动"方案 促进医疗器械临床创新成果转化》  https://new.qq.com/rain/a/20260723A030EQ00）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eastAsia="仿宋_GB2312" w:hAnsi="仿宋_GB2312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2026-07-23T00:12:43.557Z</dcterms:created>
  <dcterms:modified xsi:type="dcterms:W3CDTF">2026-07-23T00:12:43.558Z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