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44"/>
          <w:szCs w:val="44"/>
        </w:rPr>
        <w:t xml:space="preserve">媒体信息摘报</w:t>
      </w:r>
    </w:p>
    <w:p>
      <w:pPr>
        <w:spacing w:after="600"/>
        <w:jc w:val="center"/>
      </w:pPr>
      <w:r>
        <w:rPr>
          <w:rFonts w:ascii="FangSong_GB2312" w:cs="FangSong_GB2312" w:eastAsia="FangSong_GB2312" w:hAnsi="FangSong_GB2312"/>
          <w:sz w:val="28"/>
          <w:szCs w:val="28"/>
        </w:rPr>
        <w:t xml:space="preserve">2026年6月10日　星期三</w:t>
      </w:r>
    </w:p>
    <w:p>
      <w:pPr>
        <w:spacing w:after="200" w:before="300" w:line="560" w:lineRule="exact"/>
      </w:pPr>
      <w:r>
        <w:rPr>
          <w:rFonts w:ascii="SimHei" w:cs="SimHei" w:eastAsia="SimHei" w:hAnsi="SimHei"/>
          <w:b/>
          <w:bCs/>
          <w:sz w:val="32"/>
          <w:szCs w:val="32"/>
        </w:rPr>
        <w:t xml:space="preserve">1．广东八部门联合发布电动汽车充电设施高质量发展行动方案</w:t>
      </w:r>
    </w:p>
    <w:p>
      <w:pPr>
        <w:spacing w:line="560" w:lineRule="exact"/>
        <w:ind w:firstLine="640"/>
      </w:pPr>
      <w:r>
        <w:rPr>
          <w:rFonts w:ascii="FangSong_GB2312" w:cs="FangSong_GB2312" w:eastAsia="FangSong_GB2312" w:hAnsi="FangSong_GB2312"/>
          <w:sz w:val="32"/>
          <w:szCs w:val="32"/>
        </w:rPr>
        <w:t xml:space="preserve">南方日报6月9日报道，广东省发展改革委、省能源局等八部门近日联合印发《广东省电动汽车充电设施高质量发展行动方案》，系统部署充电设施建设路径。一是构建全省"大功率一张网"。推动单枪250千瓦以上大功率充电设施普及，加大360千瓦及以上超充、1000千瓦及以上兆瓦闪充设施建设，到2027年底全省累计新增大功率充电枪1万个以上；支持加油站建设充换电设施，打造油电气综合能源补给示范站；围绕港口、矿区、物流集散地规划布局重卡充换电设施，构建"干线+节点"电动重卡充换电组网。二是实现"超充县县通"目标。全省各市超充站数量不少于加油站数量，到2027年底全省累计建成300万个以上充电设施，满足超过800万辆新能源汽车充电需求；以服役8年以上老旧设施为重点，到2027年底基本完成城市核心区老旧充电设施更新改造；结合"百县千镇万村高质量发展工程"，到2027年基本实现第二批典型村充电设施全覆盖。三是推广居住区"统建统服"模式。新建居住区确保固定车位100%同步建设充电设施或预留安装条件；由运营企业统一规划、建设和运维，到2026年底全省打造超过100个"统建统服"试点小区；到2027年底全省新增私人充电设施超过100万个。四是推进车网互动规模化应用。在广州、深圳围绕公交、网约车、物流车等场景布局双向充放电示范项目，到2027年底累计建成V2G设施超2500个，反向放电量超过300万千瓦时；探索电动汽车参与电网调峰、调频和应急响应，发挥"移动储能"和"能量蓄水池"作用。</w:t>
      </w:r>
    </w:p>
    <w:p>
      <w:pPr>
        <w:spacing w:after="100" w:before="100" w:line="560" w:lineRule="exact"/>
        <w:jc w:val="right"/>
      </w:pPr>
      <w:r>
        <w:rPr>
          <w:rFonts w:ascii="FangSong_GB2312" w:cs="FangSong_GB2312" w:eastAsia="FangSong_GB2312" w:hAnsi="FangSong_GB2312"/>
          <w:sz w:val="24"/>
          <w:szCs w:val="24"/>
        </w:rPr>
        <w:t xml:space="preserve">——南方日报</w:t>
      </w:r>
    </w:p>
    <w:p>
      <w:pPr>
        <w:spacing w:after="100"/>
      </w:pPr>
      <w:r>
        <w:rPr>
          <w:rFonts w:ascii="FangSong_GB2312" w:cs="FangSong_GB2312" w:eastAsia="FangSong_GB2312" w:hAnsi="FangSong_GB2312"/>
          <w:color w:val="888888"/>
          <w:sz w:val="20"/>
          <w:szCs w:val="20"/>
        </w:rPr>
        <w:t xml:space="preserve">链接：https://field.10jqka.com.cn/20260609/c677326114.shtml</w:t>
      </w:r>
    </w:p>
    <w:p>
      <w:pPr>
        <w:spacing w:after="200" w:before="300" w:line="560" w:lineRule="exact"/>
      </w:pPr>
      <w:r>
        <w:rPr>
          <w:rFonts w:ascii="SimHei" w:cs="SimHei" w:eastAsia="SimHei" w:hAnsi="SimHei"/>
          <w:b/>
          <w:bCs/>
          <w:sz w:val="32"/>
          <w:szCs w:val="32"/>
        </w:rPr>
        <w:t xml:space="preserve">2．湖北省政府印发《武汉市激发产业创新活力专项行动方案》</w:t>
      </w:r>
    </w:p>
    <w:p>
      <w:pPr>
        <w:spacing w:line="560" w:lineRule="exact"/>
        <w:ind w:firstLine="640"/>
      </w:pPr>
      <w:r>
        <w:rPr>
          <w:rFonts w:ascii="FangSong_GB2312" w:cs="FangSong_GB2312" w:eastAsia="FangSong_GB2312" w:hAnsi="FangSong_GB2312"/>
          <w:sz w:val="32"/>
          <w:szCs w:val="32"/>
        </w:rPr>
        <w:t xml:space="preserve">湖北日报6月9日报道，湖北省人民政府办公厅印发《武汉市激发产业创新活力专项行动方案》，推出6大方面19项工作任务，目标到2028年打造科技创新与产业创新深度融合的"创新特区"。一是构建"北斗七星"式转化体系。构建政产学研金服用"北斗七星"式转化体系，在汉高校科技成果就地转化率大幅提高，到2028年科技成果转化超过10000项；聚焦东湖新技术开发区、武昌区、洪山区打造环大学创新发展带；升级优化武汉算力公共服务平台，面向中小企业提供"数据券"等普惠算力供给。二是打造百亿级种子天使基金矩阵。构建"创投+产投"基金体系，引导社会资本打造100亿元规模种子天使投资基金矩阵，支持创新创业早期项目不少于1000个；种子、天使投资基金出资比例可提高至50%以上，存续期最长可达15年，分别承担最高不超过投资总额80%、60%的亏损；推广科技担保新型政银担合作体系，将科技型中小微企业单户在保余额上限提高至3000万元。三是培育青年创新创业人才。新增留汉来汉就业创业大学毕业生100万人，培育独角兽企业10家以上；推动在汉高校学生接受创新创业教育全覆盖，鼓励高校允许学生分多阶段完成学业；将大学生创业扶持优秀项目纳入创新创业类基金直投范围，推动高校院所向创业团队开放重点实验室和公共研发平台。四是支持颠覆性技术攻关和场景开发。支持企业和科研机构参与"十五五"光电子信息、量子科技等重大科技攻关任务；在集成电路、智能网联汽车、激光、生物医药等领域组建产业创新联合实验室；打造全球领先的新兴产业和未来产业测试验证基地。</w:t>
      </w:r>
    </w:p>
    <w:p>
      <w:pPr>
        <w:spacing w:after="100" w:before="100" w:line="560" w:lineRule="exact"/>
        <w:jc w:val="right"/>
      </w:pPr>
      <w:r>
        <w:rPr>
          <w:rFonts w:ascii="FangSong_GB2312" w:cs="FangSong_GB2312" w:eastAsia="FangSong_GB2312" w:hAnsi="FangSong_GB2312"/>
          <w:sz w:val="24"/>
          <w:szCs w:val="24"/>
        </w:rPr>
        <w:t xml:space="preserve">——湖北日报</w:t>
      </w:r>
    </w:p>
    <w:p>
      <w:pPr>
        <w:spacing w:after="100"/>
      </w:pPr>
      <w:r>
        <w:rPr>
          <w:rFonts w:ascii="FangSong_GB2312" w:cs="FangSong_GB2312" w:eastAsia="FangSong_GB2312" w:hAnsi="FangSong_GB2312"/>
          <w:color w:val="888888"/>
          <w:sz w:val="20"/>
          <w:szCs w:val="20"/>
        </w:rPr>
        <w:t xml:space="preserve">链接：http://news.10jqka.com.cn/20260610/c677338963.shtml</w:t>
      </w:r>
    </w:p>
    <w:p>
      <w:pPr>
        <w:spacing w:after="200" w:before="300" w:line="560" w:lineRule="exact"/>
      </w:pPr>
      <w:r>
        <w:rPr>
          <w:rFonts w:ascii="SimHei" w:cs="SimHei" w:eastAsia="SimHei" w:hAnsi="SimHei"/>
          <w:b/>
          <w:bCs/>
          <w:sz w:val="32"/>
          <w:szCs w:val="32"/>
        </w:rPr>
        <w:t xml:space="preserve">3．天津市长张工主持港产城融合发展专题会议</w:t>
      </w:r>
    </w:p>
    <w:p>
      <w:pPr>
        <w:spacing w:line="560" w:lineRule="exact"/>
        <w:ind w:firstLine="640"/>
      </w:pPr>
      <w:r>
        <w:rPr>
          <w:rFonts w:ascii="FangSong_GB2312" w:cs="FangSong_GB2312" w:eastAsia="FangSong_GB2312" w:hAnsi="FangSong_GB2312"/>
          <w:sz w:val="32"/>
          <w:szCs w:val="32"/>
        </w:rPr>
        <w:t xml:space="preserve">天津日报6月9日报道，天津市市长张工6月9日主持召开港产城融合发展专题会议暨市港口经济高质量发展领导小组会议，部署深化港口功能、做强临港产业等重点任务。一是聚力提升港口运营能力。加强基础设施建设，做强资本运营，深化与航运头部企业市场化合作；持续拓展航线、优化服务、聚合资源，加快发展航运服务业，不断培育新业务新增长点；深度融入实施"三新""三量"工作，积极争取并用足用好中央政策资源，推动港口能级提升，向价值链高端迈进。二是持续做强临港产业。扎实推进国能二期等重点项目建设，发挥龙头企业带动作用；完善产业配套，加力发展船舶制造、海工装备、海洋文旅等海洋产业；做精做深冷链、粮油加工，更好推动港口与产业相互赋能，增强"添秤"意识，让抓手更加务实、机制不断顺畅。三是深化机制改革创新拓展开放合作。强调"十五五"开局之年要增强全局观念和进取意识，精准把握国家战略导向和港口经济发展趋势；主动融入现代化首都都市圈建设，深化机制改革创新，拓展开放合作；完善专班工作机制，定期跟踪调度，强化服务支撑，解决难点堵点问题，高标准推进港产城融合发展取得新成效。</w:t>
      </w:r>
    </w:p>
    <w:p>
      <w:pPr>
        <w:spacing w:after="100" w:before="100" w:line="560" w:lineRule="exact"/>
        <w:jc w:val="right"/>
      </w:pPr>
      <w:r>
        <w:rPr>
          <w:rFonts w:ascii="FangSong_GB2312" w:cs="FangSong_GB2312" w:eastAsia="FangSong_GB2312" w:hAnsi="FangSong_GB2312"/>
          <w:sz w:val="24"/>
          <w:szCs w:val="24"/>
        </w:rPr>
        <w:t xml:space="preserve">——天津日报</w:t>
      </w:r>
    </w:p>
    <w:p>
      <w:pPr>
        <w:spacing w:after="100"/>
      </w:pPr>
      <w:r>
        <w:rPr>
          <w:rFonts w:ascii="FangSong_GB2312" w:cs="FangSong_GB2312" w:eastAsia="FangSong_GB2312" w:hAnsi="FangSong_GB2312"/>
          <w:color w:val="888888"/>
          <w:sz w:val="20"/>
          <w:szCs w:val="20"/>
        </w:rPr>
        <w:t xml:space="preserve">链接：https://new.qq.com/rain/a/20260610A029UB00</w:t>
      </w:r>
    </w:p>
    <w:p>
      <w:pPr>
        <w:spacing w:after="200" w:before="300" w:line="560" w:lineRule="exact"/>
      </w:pPr>
      <w:r>
        <w:rPr>
          <w:rFonts w:ascii="SimHei" w:cs="SimHei" w:eastAsia="SimHei" w:hAnsi="SimHei"/>
          <w:b/>
          <w:bCs/>
          <w:sz w:val="32"/>
          <w:szCs w:val="32"/>
        </w:rPr>
        <w:t xml:space="preserve">4．2026上海国际碳博会开幕 聚焦"零碳变革 要素赋能"</w:t>
      </w:r>
    </w:p>
    <w:p>
      <w:pPr>
        <w:spacing w:line="560" w:lineRule="exact"/>
        <w:ind w:firstLine="640"/>
      </w:pPr>
      <w:r>
        <w:rPr>
          <w:rFonts w:ascii="FangSong_GB2312" w:cs="FangSong_GB2312" w:eastAsia="FangSong_GB2312" w:hAnsi="FangSong_GB2312"/>
          <w:sz w:val="32"/>
          <w:szCs w:val="32"/>
        </w:rPr>
        <w:t xml:space="preserve">解放日报6月10日报道，2026上海国际碳中和技术、产品与成果博览会6月10日在上海新国际博览中心开幕，以"零碳变革，要素赋能"为主题，展会规模4万平方米，汇聚近300家企业。一是覆盖六大领域全链条展示。本届碳博会覆盖能源转型、低碳交通、节能增效、循环经济、低碳服务、实践探索六大领域；特设主宾省展示专区、上海市各行政区专区、一体化解决方案专区、上海金融业联合会专区等六大特色专区，集中呈现碳中和全产业链技术产品与成果。二是举办四大平行论坛。围绕零碳园区、绿色出海、循环经济、能源转型四大方向举办平行论坛；聚焦园区零碳化转型路径、企业绿色国际化布局、资源循环利用模式创新、能源结构优化等前沿议题开展深度研讨。三是推出"绿色出海"系列活动。围绕气象预警护航、碳数据采信、低碳技术创新、产业规则协同四大维度，以实战分享、跨界对话、供需对接三位一体形式，助力中国企业低碳领域国际化布局，推动碳排放数据互认机制和清洁技术国际合作。四是推动零碳变革实践落地。上海临港新片区规划面积14.3平方公里的"零碳湾"从蓝图走向现实；纯电动智能船舶"国峡001号"等零碳交通成果集中亮相。</w:t>
      </w:r>
    </w:p>
    <w:p>
      <w:pPr>
        <w:spacing w:after="100" w:before="100" w:line="560" w:lineRule="exact"/>
        <w:jc w:val="right"/>
      </w:pPr>
      <w:r>
        <w:rPr>
          <w:rFonts w:ascii="FangSong_GB2312" w:cs="FangSong_GB2312" w:eastAsia="FangSong_GB2312" w:hAnsi="FangSong_GB2312"/>
          <w:sz w:val="24"/>
          <w:szCs w:val="24"/>
        </w:rPr>
        <w:t xml:space="preserve">——解放日报</w:t>
      </w:r>
    </w:p>
    <w:p>
      <w:pPr>
        <w:spacing w:after="100"/>
      </w:pPr>
      <w:r>
        <w:rPr>
          <w:rFonts w:ascii="FangSong_GB2312" w:cs="FangSong_GB2312" w:eastAsia="FangSong_GB2312" w:hAnsi="FangSong_GB2312"/>
          <w:color w:val="888888"/>
          <w:sz w:val="20"/>
          <w:szCs w:val="20"/>
        </w:rPr>
        <w:t xml:space="preserve">链接：https://www.shanghai.gov.cn/nw4411/20260522/be845ed293ec40629b8a3e500b5aec23.html</w:t>
      </w:r>
    </w:p>
    <w:p>
      <w:pPr>
        <w:spacing w:after="200" w:before="300" w:line="560" w:lineRule="exact"/>
      </w:pPr>
      <w:r>
        <w:rPr>
          <w:rFonts w:ascii="SimHei" w:cs="SimHei" w:eastAsia="SimHei" w:hAnsi="SimHei"/>
          <w:b/>
          <w:bCs/>
          <w:sz w:val="32"/>
          <w:szCs w:val="32"/>
        </w:rPr>
        <w:t xml:space="preserve">5．辽宁印发服务型制造创新发展三年行动方案</w:t>
      </w:r>
    </w:p>
    <w:p>
      <w:pPr>
        <w:spacing w:line="560" w:lineRule="exact"/>
        <w:ind w:firstLine="640"/>
      </w:pPr>
      <w:r>
        <w:rPr>
          <w:rFonts w:ascii="FangSong_GB2312" w:cs="FangSong_GB2312" w:eastAsia="FangSong_GB2312" w:hAnsi="FangSong_GB2312"/>
          <w:sz w:val="32"/>
          <w:szCs w:val="32"/>
        </w:rPr>
        <w:t xml:space="preserve">人民日报6月8日报道，辽宁省印发《深入推动服务型制造创新发展三年行动方案（2026—2028年）》，推动制造业和服务业融合发展。一是明确行动路径和目标。方案提出打造服务型制造领军品牌、培育服务型制造创新发展高地、初步建成与辽宁产业特色匹配的发展生态三大目标；完善支撑体系，加强宣传推广，推动一批重点企业向服务化转型。二是培育多元化转型模式。支持企业从"卖设备"向"卖服务"转变，大连冰山集团通过5G和云服务平台实现远程监控、温度监测、节能评估等全生命周期专业化服务，冰面温差控制在0.5摄氏度以内，冰雪板块营收年增长保持在20%以上，室内冰场建设改造业务占国内市场份额逾六成。三是发展大规模个性化定制。大杨集团打造服装智能化柔性定制生产体系，实现全链条数字化管控，数字仓自动匹配样板精准度达99.6%，定制西装最短3天交付，私人定制服务年化增长率保持在40%以上。四是搭建平台化服务体系。沈阳顺风实业集团打造新型环保化工建材综合服务平台，为大型企业提供定制化生产，为中小企业提供一体化服务，平台建成后企业运营成本降低29%，产品研发周期缩短33%；捷匠钣金工业互联网平台汇聚30余万张图纸数据，入驻400多家钣金工厂，预计2026年订单额达4亿元；鞍钢德邻陆港供应链服务平台汇聚4万余家上下游企业，年度商品交易总额近700亿元。</w:t>
      </w:r>
    </w:p>
    <w:p>
      <w:pPr>
        <w:spacing w:after="100" w:before="100" w:line="560" w:lineRule="exact"/>
        <w:jc w:val="right"/>
      </w:pPr>
      <w:r>
        <w:rPr>
          <w:rFonts w:ascii="FangSong_GB2312" w:cs="FangSong_GB2312" w:eastAsia="FangSong_GB2312" w:hAnsi="FangSong_GB2312"/>
          <w:sz w:val="24"/>
          <w:szCs w:val="24"/>
        </w:rPr>
        <w:t xml:space="preserve">——人民日报</w:t>
      </w:r>
    </w:p>
    <w:p>
      <w:pPr>
        <w:spacing w:after="100"/>
      </w:pPr>
      <w:r>
        <w:rPr>
          <w:rFonts w:ascii="FangSong_GB2312" w:cs="FangSong_GB2312" w:eastAsia="FangSong_GB2312" w:hAnsi="FangSong_GB2312"/>
          <w:color w:val="888888"/>
          <w:sz w:val="20"/>
          <w:szCs w:val="20"/>
        </w:rPr>
        <w:t xml:space="preserve">链接：https://www.news.cn/local/20260608/2ebccdc9b2cd49618c2210227398ca4d/c.html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2026-06-10T01:23:34.865Z</dcterms:created>
  <dcterms:modified xsi:type="dcterms:W3CDTF">2026-06-10T01:23:34.866Z</dcterms:modified>
</cp:coreProperties>
</file>

<file path=docProps/custom.xml><?xml version="1.0" encoding="utf-8"?>
<Properties xmlns="http://schemas.openxmlformats.org/officeDocument/2006/custom-properties" xmlns:vt="http://schemas.openxmlformats.org/officeDocument/2006/docPropsVTypes"/>
</file>