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line="560" w:lineRule="exactly"/>
        <w:jc w:val="center"/>
      </w:pPr>
      <w:r>
        <w:rPr>
          <w:rFonts w:ascii="黑体" w:cs="黑体" w:eastAsia="黑体" w:hAnsi="黑体"/>
          <w:b/>
          <w:bCs/>
          <w:sz w:val="32"/>
          <w:szCs w:val="32"/>
        </w:rPr>
        <w:t xml:space="preserve">媒体信息摘报</w:t>
      </w:r>
    </w:p>
    <w:p>
      <w:pPr>
        <w:spacing w:after="240" w:before="120" w:line="560" w:lineRule="exactly"/>
        <w:jc w:val="center"/>
      </w:pPr>
      <w:r>
        <w:rPr>
          <w:rFonts w:ascii="黑体" w:cs="黑体" w:eastAsia="黑体" w:hAnsi="黑体"/>
          <w:b/>
          <w:bCs/>
          <w:sz w:val="32"/>
          <w:szCs w:val="32"/>
        </w:rPr>
        <w:t xml:space="preserve">2026年6月2日</w:t>
      </w:r>
    </w:p>
    <w:p>
      <w:pPr>
        <w:spacing w:after="0" w:before="0" w:line="560" w:lineRule="exactly"/>
        <w:jc w:val="both"/>
      </w:pPr>
      <w:r>
        <w:rPr>
          <w:rFonts w:ascii="仿宋_GB2312" w:cs="仿宋_GB2312" w:eastAsia="仿宋_GB2312" w:hAnsi="仿宋_GB2312"/>
          <w:b w:val="false"/>
          <w:bCs w:val="false"/>
          <w:sz w:val="32"/>
          <w:szCs w:val="32"/>
        </w:rPr>
        <w:t xml:space="preserve"/>
      </w:r>
    </w:p>
    <w:p>
      <w:pPr>
        <w:spacing w:after="0" w:before="0" w:line="560" w:lineRule="exactly"/>
        <w:ind w:firstLine="640"/>
        <w:jc w:val="both"/>
      </w:pPr>
      <w:r>
        <w:rPr>
          <w:rFonts w:ascii="仿宋_GB2312" w:cs="仿宋_GB2312" w:eastAsia="仿宋_GB2312" w:hAnsi="仿宋_GB2312"/>
          <w:b w:val="false"/>
          <w:bCs w:val="false"/>
          <w:sz w:val="32"/>
          <w:szCs w:val="32"/>
        </w:rPr>
        <w:t xml:space="preserve">本期摘报聚焦五省（市、区）在经济发展、民生保障、产业培育、营商环境优化和国企改革等领域的最新创新举措与实践经验，为政府决策提供参考借鉴。</w:t>
      </w:r>
    </w:p>
    <w:p>
      <w:pPr>
        <w:spacing w:after="80" w:before="360" w:line="560" w:lineRule="exactly"/>
        <w:jc w:val="left"/>
      </w:pPr>
      <w:r>
        <w:rPr>
          <w:rFonts w:ascii="黑体" w:cs="黑体" w:eastAsia="黑体" w:hAnsi="黑体"/>
          <w:b/>
          <w:bCs/>
          <w:sz w:val="32"/>
          <w:szCs w:val="32"/>
        </w:rPr>
        <w:t xml:space="preserve">1. 「启航「十五五」：中国发展与全球机遇」广东省专题推介会举行</w:t>
      </w:r>
    </w:p>
    <w:p>
      <w:pPr>
        <w:spacing w:after="0" w:before="0" w:line="560" w:lineRule="exactly"/>
        <w:ind w:firstLine="640"/>
        <w:jc w:val="both"/>
      </w:pPr>
      <w:r>
        <w:rPr>
          <w:rFonts w:ascii="仿宋_GB2312" w:cs="仿宋_GB2312" w:eastAsia="仿宋_GB2312" w:hAnsi="仿宋_GB2312"/>
          <w:b w:val="false"/>
          <w:bCs w:val="false"/>
          <w:sz w:val="32"/>
          <w:szCs w:val="32"/>
        </w:rPr>
        <w:t xml:space="preserve">　　一句话总结：广东以外交部品牌活动首站为契机，面向37国60名驻华使节全面展示改革开放排头兵的发展成果与全球机遇，探索出一条地方层面面向国际推介「十五五」的制度型开放新路径。</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一是首创央地联合推介模式，外交部与广东省政府首次联手打造「启航「十五五」」品牌活动，将地方发展与国际合作对接机制化。外交部明确对外宣示四大承诺——提供连续稳定的政策环境、创新迸发的增长势能、开放融通的市场空间、和平发展的合作前景，并呼吁驻华使节成为务实推动者和真诚讲述者，把考察转化为具体合作项目，实现「以推介促合作、以开放促发展」。</w:t>
      </w:r>
    </w:p>
    <w:p>
      <w:pPr>
        <w:spacing w:after="0" w:before="0" w:line="560" w:lineRule="exactly"/>
        <w:ind w:firstLine="640"/>
        <w:jc w:val="both"/>
      </w:pPr>
      <w:r>
        <w:rPr>
          <w:rFonts w:ascii="仿宋_GB2312" w:cs="仿宋_GB2312" w:eastAsia="仿宋_GB2312" w:hAnsi="仿宋_GB2312"/>
          <w:b w:val="false"/>
          <w:bCs w:val="false"/>
          <w:sz w:val="32"/>
          <w:szCs w:val="32"/>
        </w:rPr>
        <w:t xml:space="preserve">二是以创新驱动构成核心竞争力。广东区域创新能力连续9年全国第一，「深圳—香港—广州」城市创新集群跃居全球首位，形成「创新引领开放、开放反哺创新」的良性循环。此次组织驻华使节参访粤港澳合作发展平台、大湾区互联互通重点项目、优势产业与创新生态、「百县千镇万村高质量发展工程」示范村四大主题，将创新成果与国际对接有机结合。</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三是以产业体系彰显综合优势。广东拥有健全的现代化产业体系，「广东制造」享誉全球，「广东服务」加速发展，一流营商环境和产业生态使广东成为投资贸易和创业就业的高地。面向「十五五」和更久远的未来，作为经济大省、贸易大省、人口大省的广东，正以制度型开放为牵引，构建更高水平的开放型经济新体制。</w:t>
      </w:r>
    </w:p>
    <w:p>
      <w:pPr>
        <w:spacing w:after="40" w:before="80" w:line="560" w:lineRule="exactly"/>
        <w:jc w:val="right"/>
      </w:pPr>
      <w:r>
        <w:rPr>
          <w:rFonts w:ascii="仿宋_GB2312" w:cs="仿宋_GB2312" w:eastAsia="仿宋_GB2312" w:hAnsi="仿宋_GB2312"/>
          <w:sz w:val="28"/>
          <w:szCs w:val="28"/>
        </w:rPr>
        <w:t xml:space="preserve">（信息来源：南方日报 6月2日 https://epaper.nfnews.com/nfdaily/html/202606/02/content_10172135.html）</w:t>
      </w:r>
    </w:p>
    <w:p>
      <w:pPr>
        <w:spacing w:after="80" w:before="360" w:line="560" w:lineRule="exactly"/>
        <w:jc w:val="left"/>
      </w:pPr>
      <w:r>
        <w:rPr>
          <w:rFonts w:ascii="黑体" w:cs="黑体" w:eastAsia="黑体" w:hAnsi="黑体"/>
          <w:b/>
          <w:bCs/>
          <w:sz w:val="32"/>
          <w:szCs w:val="32"/>
        </w:rPr>
        <w:t xml:space="preserve">2. 四川以超常举措推动39个欠发达县域加快追赶振兴发展</w:t>
      </w:r>
    </w:p>
    <w:p>
      <w:pPr>
        <w:spacing w:after="0" w:before="0" w:line="560" w:lineRule="exactly"/>
        <w:ind w:firstLine="640"/>
        <w:jc w:val="both"/>
      </w:pPr>
      <w:r>
        <w:rPr>
          <w:rFonts w:ascii="仿宋_GB2312" w:cs="仿宋_GB2312" w:eastAsia="仿宋_GB2312" w:hAnsi="仿宋_GB2312"/>
          <w:b w:val="false"/>
          <w:bCs w:val="false"/>
          <w:sz w:val="32"/>
          <w:szCs w:val="32"/>
        </w:rPr>
        <w:t xml:space="preserve">　　一句话总结：四川以「开发式帮扶」为核心抓手，面向全省39个欠发达县域启动托底性帮扶，探索出一条以增强内生造血能力为导向的欠发达地区振兴发展新路径，对缩小区域差距、防止规模性返贫具有重要借鉴意义。</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一是创新帮扶理念，将「开发式帮扶」作为重中之重，坚决杜绝一味「等靠要」的被动思维。会议明确提出聚焦增强内生造血能力，因地制宜培育县域主导产业和帮扶产业，注重差异性和可持续性，避免「一刀切」和短期行为，标志着从「输血式」帮扶向「造血式」振兴的理念跃迁。</w:t>
      </w:r>
    </w:p>
    <w:p>
      <w:pPr>
        <w:spacing w:after="0" w:before="0" w:line="560" w:lineRule="exactly"/>
        <w:ind w:firstLine="640"/>
        <w:jc w:val="both"/>
      </w:pPr>
      <w:r>
        <w:rPr>
          <w:rFonts w:ascii="仿宋_GB2312" w:cs="仿宋_GB2312" w:eastAsia="仿宋_GB2312" w:hAnsi="仿宋_GB2312"/>
          <w:b w:val="false"/>
          <w:bCs w:val="false"/>
          <w:sz w:val="32"/>
          <w:szCs w:val="32"/>
        </w:rPr>
        <w:t xml:space="preserve">二是精准培育新增长点。针对欠发达县域资源禀赋，明确培育林下经济、预制食品产业等新业态，要求注重差异性、避免同质化竞争，并深化帮扶产业全链开发，从产业发展和项目建设之初就把群众增收考虑进去，完善利益联结机制，加强就业技能培训，坚决守住不发生规模性返贫致贫底线。</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三是强化差异化政策保障体系。从财政、金融、土地、人才等方面予以针对性支持，区分轻重缓急、兼顾当下长远，加强人员、项目、资金统筹协调，集中力量办成一批群众可感可及的实事。帮扶方与受扶地双向交流、上下联动，以「有形有态」推动托底性帮扶落地见效，为全国欠发达县域振兴发展提供了制度性参考。</w:t>
      </w:r>
    </w:p>
    <w:p>
      <w:pPr>
        <w:spacing w:after="40" w:before="80" w:line="560" w:lineRule="exactly"/>
        <w:jc w:val="right"/>
      </w:pPr>
      <w:r>
        <w:rPr>
          <w:rFonts w:ascii="仿宋_GB2312" w:cs="仿宋_GB2312" w:eastAsia="仿宋_GB2312" w:hAnsi="仿宋_GB2312"/>
          <w:sz w:val="28"/>
          <w:szCs w:val="28"/>
        </w:rPr>
        <w:t xml:space="preserve">（信息来源：四川日报 6月2日 https://finance.sina.com.cn/jjxw/2026-06-02/doc-inhzyhit7909289.shtml）</w:t>
      </w:r>
    </w:p>
    <w:p>
      <w:pPr>
        <w:spacing w:after="80" w:before="360" w:line="560" w:lineRule="exactly"/>
        <w:jc w:val="left"/>
      </w:pPr>
      <w:r>
        <w:rPr>
          <w:rFonts w:ascii="黑体" w:cs="黑体" w:eastAsia="黑体" w:hAnsi="黑体"/>
          <w:b/>
          <w:bCs/>
          <w:sz w:val="32"/>
          <w:szCs w:val="32"/>
        </w:rPr>
        <w:t xml:space="preserve">3. 衢州智造新城探索产业长效培育机制，近三年企业累计增资491亿元</w:t>
      </w:r>
    </w:p>
    <w:p>
      <w:pPr>
        <w:spacing w:after="0" w:before="0" w:line="560" w:lineRule="exactly"/>
        <w:ind w:firstLine="640"/>
        <w:jc w:val="both"/>
      </w:pPr>
      <w:r>
        <w:rPr>
          <w:rFonts w:ascii="仿宋_GB2312" w:cs="仿宋_GB2312" w:eastAsia="仿宋_GB2312" w:hAnsi="仿宋_GB2312"/>
          <w:b w:val="false"/>
          <w:bCs w:val="false"/>
          <w:sz w:val="32"/>
          <w:szCs w:val="32"/>
        </w:rPr>
        <w:t xml:space="preserve">　　一句话总结：浙江衢州智造新城通过制度创新破解招商引资中「重引进轻培育」的顽疾，建立产业长效培育机制，近三年39家企业投产后再次增资累计491.1亿元，为产业援企稳企提供了可复制的制度化方案。</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一是建立「清单化交接」制度，实行「专人联企、责任不变、服务不断」。在岗位变动时，原负责人与新任负责人逐项梳理在办企业服务事项，列明进展、难点与对接要求，形成清晰交接清单，确保岗位换人而服务不落空、事项不中断。目前这一机制已覆盖所有联企服务岗位，从根本上解决了帮扶政策因人事变动而「断线」的问题。</w:t>
      </w:r>
    </w:p>
    <w:p>
      <w:pPr>
        <w:spacing w:after="0" w:before="0" w:line="560" w:lineRule="exactly"/>
        <w:ind w:firstLine="640"/>
        <w:jc w:val="both"/>
      </w:pPr>
      <w:r>
        <w:rPr>
          <w:rFonts w:ascii="仿宋_GB2312" w:cs="仿宋_GB2312" w:eastAsia="仿宋_GB2312" w:hAnsi="仿宋_GB2312"/>
          <w:b w:val="false"/>
          <w:bCs w:val="false"/>
          <w:sz w:val="32"/>
          <w:szCs w:val="32"/>
        </w:rPr>
        <w:t xml:space="preserve">二是优化干部考核体系，从考核端引导干部「沉下心」谋划产业布局。合理调低短期招商、即时产值等指标权重，将产业链完整度、本土企业成长规模、核心技术突破数量等长远发展指标纳入考评，组建常态化企业服务团队，持续跟进企业全生命周期需求，使每家企业都能获得稳定连贯的政策支持，从根本上改变了「前任栽树后任未必乘凉」的短视行为。</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三是精准补链强链，聚焦「5+X」主导产业，梳理细分产业缺口清单，统筹资源助力本土企业攻克技术难关、拓展配套市场。目前园区已集聚重点企业1600余家，规上工业企业411家、高新技术企业335家、专精特新「小巨人」20家，形成了「大企业顶天立地、中小企业铺天盖地」的雁阵格局，产业底盘日益稳固。</w:t>
      </w:r>
    </w:p>
    <w:p>
      <w:pPr>
        <w:spacing w:after="40" w:before="80" w:line="560" w:lineRule="exactly"/>
        <w:jc w:val="right"/>
      </w:pPr>
      <w:r>
        <w:rPr>
          <w:rFonts w:ascii="仿宋_GB2312" w:cs="仿宋_GB2312" w:eastAsia="仿宋_GB2312" w:hAnsi="仿宋_GB2312"/>
          <w:sz w:val="28"/>
          <w:szCs w:val="28"/>
        </w:rPr>
        <w:t xml:space="preserve">（信息来源：浙江日报 6月2日 https://zjrb.zjol.com.cn/html/2026-06/02/content_3907155.htm）</w:t>
      </w:r>
    </w:p>
    <w:p>
      <w:pPr>
        <w:spacing w:after="80" w:before="360" w:line="560" w:lineRule="exactly"/>
        <w:jc w:val="left"/>
      </w:pPr>
      <w:r>
        <w:rPr>
          <w:rFonts w:ascii="黑体" w:cs="黑体" w:eastAsia="黑体" w:hAnsi="黑体"/>
          <w:b/>
          <w:bCs/>
          <w:sz w:val="32"/>
          <w:szCs w:val="32"/>
        </w:rPr>
        <w:t xml:space="preserve">4. 贵安新区创新「联合坐诊」机制，为68.8亿元数据中心项目打通审批堵点</w:t>
      </w:r>
    </w:p>
    <w:p>
      <w:pPr>
        <w:spacing w:after="0" w:before="0" w:line="560" w:lineRule="exactly"/>
        <w:ind w:firstLine="640"/>
        <w:jc w:val="both"/>
      </w:pPr>
      <w:r>
        <w:rPr>
          <w:rFonts w:ascii="仿宋_GB2312" w:cs="仿宋_GB2312" w:eastAsia="仿宋_GB2312" w:hAnsi="仿宋_GB2312"/>
          <w:b w:val="false"/>
          <w:bCs w:val="false"/>
          <w:sz w:val="32"/>
          <w:szCs w:val="32"/>
        </w:rPr>
        <w:t xml:space="preserve">　　一句话总结：贵州贵安新区创新推出「联合坐诊」审批服务机制，将总投68.8亿元的数据中心项目行政审批从「接力跑」变为「并肩跑」，为大型产业项目快速落地提供了一套可推广的营商环境优化方案。</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一是创新多部门「联合坐诊」会商机制。由行政审批局牵头，把城建局、大数据局等主管部门拉进同一间会议室，企业当场抛出在建项目新办施工许可的具体诉求，各部门聚焦政策解读、审批路径、行业监管和施工质量安全，逐一回应、逐项「接单」，将多部门串行审批变为并联协同，大幅压缩审批周期。</w:t>
      </w:r>
    </w:p>
    <w:p>
      <w:pPr>
        <w:spacing w:after="0" w:before="0" w:line="560" w:lineRule="exactly"/>
        <w:ind w:firstLine="640"/>
        <w:jc w:val="both"/>
      </w:pPr>
      <w:r>
        <w:rPr>
          <w:rFonts w:ascii="仿宋_GB2312" w:cs="仿宋_GB2312" w:eastAsia="仿宋_GB2312" w:hAnsi="仿宋_GB2312"/>
          <w:b w:val="false"/>
          <w:bCs w:val="false"/>
          <w:sz w:val="32"/>
          <w:szCs w:val="32"/>
        </w:rPr>
        <w:t xml:space="preserve">二是精准拆解复杂审批前置条件。针对项目机电工程的特殊性，新区各主管部门现场拿出「竣工新办许可」「追加施工内容」「并入总承包管理」等多项组合措施，把复杂的审批前置条件拆分为可并联推进的模块，形成清晰可执行的路线图和时间表，让企业吃下「定心丸」，确保项目建设「不暂停、不减速」。</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三是构建「企业点单、统筹派单、专员办单」集成审批新模式。贵安新区将「联合坐诊」制度化、常态化，以集成审批推动政务服务效能升级，为新区数字经济产业集聚持续优化营商环境。这一机制突破了传统行政审批「企业跑部门、部门相互等」的困局，对于各地引育重大产业项目具有直接的复制推广价值。</w:t>
      </w:r>
    </w:p>
    <w:p>
      <w:pPr>
        <w:spacing w:after="40" w:before="80" w:line="560" w:lineRule="exactly"/>
        <w:jc w:val="right"/>
      </w:pPr>
      <w:r>
        <w:rPr>
          <w:rFonts w:ascii="仿宋_GB2312" w:cs="仿宋_GB2312" w:eastAsia="仿宋_GB2312" w:hAnsi="仿宋_GB2312"/>
          <w:sz w:val="28"/>
          <w:szCs w:val="28"/>
        </w:rPr>
        <w:t xml:space="preserve">（信息来源：贵州日报 6月2日 http://finance.sina.com.cn/jjxw/2026-06-02/doc-inhzxvue3624660.shtml）</w:t>
      </w:r>
    </w:p>
    <w:p>
      <w:pPr>
        <w:spacing w:after="80" w:before="360" w:line="560" w:lineRule="exactly"/>
        <w:jc w:val="left"/>
      </w:pPr>
      <w:r>
        <w:rPr>
          <w:rFonts w:ascii="黑体" w:cs="黑体" w:eastAsia="黑体" w:hAnsi="黑体"/>
          <w:b/>
          <w:bCs/>
          <w:sz w:val="32"/>
          <w:szCs w:val="32"/>
        </w:rPr>
        <w:t xml:space="preserve">5. 新一轮国资国企改革方案（2026—2029）下发，多省份迅速部署落实</w:t>
      </w:r>
    </w:p>
    <w:p>
      <w:pPr>
        <w:spacing w:after="0" w:before="0" w:line="560" w:lineRule="exactly"/>
        <w:ind w:firstLine="640"/>
        <w:jc w:val="both"/>
      </w:pPr>
      <w:r>
        <w:rPr>
          <w:rFonts w:ascii="仿宋_GB2312" w:cs="仿宋_GB2312" w:eastAsia="仿宋_GB2312" w:hAnsi="仿宋_GB2312"/>
          <w:b w:val="false"/>
          <w:bCs w:val="false"/>
          <w:sz w:val="32"/>
          <w:szCs w:val="32"/>
        </w:rPr>
        <w:t xml:space="preserve">　　一句话总结：《关于进一步深化国资国企改革的方案（2026—2029年）》正式下发，以增强核心功能和提升核心竞争力为总目标，明确推进三大领域集中布局，多个省份和央企已迅速响应、差异化部署，标志着新一轮国资国企改革从顶层设计进入实操落地阶段。</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一是明确产业集聚的量化目标。方案提出2026—2029年推动中央企业88%以上营收集中到国家安全与命脉领域、公共服务与应急领域、战略性新兴产业等20个重点行业，从产业布局维度划定改革「硬杠杠」，防止国有资本「撒胡椒面」，引导资源向关键领域集中。</w:t>
      </w:r>
    </w:p>
    <w:p>
      <w:pPr>
        <w:spacing w:after="0" w:before="0" w:line="560" w:lineRule="exactly"/>
        <w:ind w:firstLine="640"/>
        <w:jc w:val="both"/>
      </w:pPr>
      <w:r>
        <w:rPr>
          <w:rFonts w:ascii="仿宋_GB2312" w:cs="仿宋_GB2312" w:eastAsia="仿宋_GB2312" w:hAnsi="仿宋_GB2312"/>
          <w:b w:val="false"/>
          <w:bCs w:val="false"/>
          <w:sz w:val="32"/>
          <w:szCs w:val="32"/>
        </w:rPr>
        <w:t xml:space="preserve">二是「一省一策」差异化推进落实。5月以来，山东、河南、湖北等省已相继召开省委常委会会议研究本省深化国资国企改革路径，云南玉溪高新区、江苏徐州沛县、内蒙古鄂托克旗等市县级地区陆续传达学习方案，形成了从中央到地方的快速传导机制，确保改革举措与地方实际精准对接。</w:t>
      </w:r>
    </w:p>
    <w:p>
      <w:pPr>
        <w:spacing w:after="0" w:before="0" w:line="560" w:lineRule="exactly"/>
        <w:ind w:firstLine="640"/>
        <w:jc w:val="both"/>
      </w:pPr>
      <w:r>
        <w:rPr>
          <w:rFonts w:ascii="仿宋_GB2312" w:cs="仿宋_GB2312" w:eastAsia="仿宋_GB2312" w:hAnsi="仿宋_GB2312"/>
          <w:b w:val="false"/>
          <w:bCs w:val="false"/>
          <w:sz w:val="32"/>
          <w:szCs w:val="32"/>
        </w:rPr>
        <w:t xml:space="preserve">三是央企率先制定改革台账示范先行。中国电气装备集团于5月12日召开深化改革暨建设一流工作会议，要求全集团学深悟透方案内容，制定符合发展实际的改革方案和改革台账，各级子企业系统谋划下一轮改革行动，全力以赴推动深化改革高质量高标准开局起步，为全行业落实方案提供了标杆参照。</w:t>
      </w:r>
    </w:p>
    <w:p>
      <w:pPr>
        <w:spacing w:after="40" w:before="80" w:line="560" w:lineRule="exactly"/>
        <w:jc w:val="right"/>
      </w:pPr>
      <w:r>
        <w:rPr>
          <w:rFonts w:ascii="仿宋_GB2312" w:cs="仿宋_GB2312" w:eastAsia="仿宋_GB2312" w:hAnsi="仿宋_GB2312"/>
          <w:sz w:val="28"/>
          <w:szCs w:val="28"/>
        </w:rPr>
        <w:t xml:space="preserve">（信息来源：中国经济网 6月1日 https://www.163.com/dy/article/KUA9U04H0519D45U.html）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_GB2312" w:cs="仿宋_GB2312" w:eastAsia="仿宋_GB2312" w:hAnsi="仿宋_GB2312"/>
        <w:sz w:val="32"/>
        <w:szCs w:val="3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2026-06-02T00:23:06.578Z</dcterms:created>
  <dcterms:modified xsi:type="dcterms:W3CDTF">2026-06-02T00:23:06.579Z</dcterms:modified>
</cp:coreProperties>
</file>

<file path=docProps/custom.xml><?xml version="1.0" encoding="utf-8"?>
<Properties xmlns="http://schemas.openxmlformats.org/officeDocument/2006/custom-properties" xmlns:vt="http://schemas.openxmlformats.org/officeDocument/2006/docPropsVTypes"/>
</file>