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黑体" w:eastAsia="黑体" w:hAnsi="黑体"/>
          <w:b/>
          <w:bCs/>
          <w:sz w:val="44"/>
          <w:szCs w:val="44"/>
        </w:rPr>
        <w:t xml:space="preserve">媒体信息摘报</w:t>
      </w:r>
    </w:p>
    <w:p>
      <w:pPr>
        <w:spacing w:after="200" w:before="0" w:line="560" w:lineRule="exact"/>
        <w:jc w:val="center"/>
      </w:pPr>
      <w:r>
        <w:rPr>
          <w:rFonts w:ascii="仿宋_GB2312" w:eastAsia="仿宋_GB2312" w:hAnsi="仿宋_GB2312"/>
          <w:sz w:val="32"/>
          <w:szCs w:val="32"/>
        </w:rPr>
        <w:t xml:space="preserve">（2026年8月3日）</w:t>
      </w:r>
    </w:p>
    <w:p>
      <w:pPr>
        <w:spacing w:after="120" w:before="260"/>
        <w:jc w:val="left"/>
      </w:pPr>
      <w:r>
        <w:rPr>
          <w:rFonts w:ascii="黑体" w:eastAsia="黑体" w:hAnsi="黑体"/>
          <w:b/>
          <w:bCs/>
          <w:sz w:val="32"/>
          <w:szCs w:val="32"/>
        </w:rPr>
        <w:t xml:space="preserve">一、让资产“活”起来，让减碳“算得清”，让价值“看得见”</w:t>
      </w:r>
    </w:p>
    <w:p>
      <w:pPr>
        <w:spacing w:after="120" w:before="60" w:line="560" w:lineRule="exact"/>
        <w:jc w:val="left"/>
      </w:pPr>
      <w:r>
        <w:rPr>
          <w:rFonts w:ascii="仿宋_GB2312" w:eastAsia="仿宋_GB2312" w:hAnsi="仿宋_GB2312"/>
          <w:sz w:val="32"/>
          <w:szCs w:val="32"/>
        </w:rPr>
        <w:t xml:space="preserve">江苏省以绿色金融创新打通“资产盘活—减碳计量—价值变现”链条，多项举措在全国先行先试。一是开展物理可溯源的小时级绿电交易。大丰港零碳产业园落地长三角首笔按小时结算、来源可物理溯源的绿电直供交易，单笔电量约60兆瓦时，于6月每日7时至9时高频开展，让绿电消费时点与生产过程精准匹配。二是以数字人民币智能合约实现电费自动结算。5月落地全国首笔绿电电费数字人民币智能合约结算，合约触发后秒级自动划转，减少人工对账与资金占用，提升绿电交易结算效率。三是盘活环境权益发行资产证券化产品。江阴秦望山绿色循环产业园以危废处理收费收益权为基础资产发行资产支持票据（ABN）6.67亿元，系全国首单，将固废处理未来现金流转化为当期融资。四是扩大绿色债券与基础设施REITs供给。上半年全省发行绿色债券266.9亿元，落地多笔全国首单公募REITs，引导社会资本投向清洁能源与环保基础设施。五是构建转型金融挂钩碳绩效的利率机制。参照人民银行11个行业转型金融支持标准，江苏银行推出“减排越好、利率越低”的ESG挂钩贷款，将贷款利率与碳减排绩效绑定，已服务20余家绿色工厂，以价格信号引导传统高碳工序低碳改造。</w:t>
      </w:r>
    </w:p>
    <w:p>
      <w:pPr>
        <w:spacing w:after="120" w:before="60" w:line="560" w:lineRule="exact"/>
        <w:jc w:val="left"/>
      </w:pPr>
      <w:r>
        <w:rPr>
          <w:rFonts w:ascii="仿宋_GB2312" w:eastAsia="仿宋_GB2312" w:hAnsi="仿宋_GB2312"/>
          <w:sz w:val="32"/>
          <w:szCs w:val="32"/>
        </w:rPr>
        <w:t xml:space="preserve">（信息来源：新华日报2026年8月3日《让资产“活”起来，让减碳“算得清”，让价值“看得见”》  https://xh.xhby.net/pad/con/202608/03/content_1577902.html）</w:t>
      </w:r>
    </w:p>
    <w:p>
      <w:pPr>
        <w:spacing w:after="120" w:before="260"/>
        <w:jc w:val="left"/>
      </w:pPr>
      <w:r>
        <w:rPr>
          <w:rFonts w:ascii="黑体" w:eastAsia="黑体" w:hAnsi="黑体"/>
          <w:b/>
          <w:bCs/>
          <w:sz w:val="32"/>
          <w:szCs w:val="32"/>
        </w:rPr>
        <w:t xml:space="preserve">二、辽宁启动潮玩消费季 百场漫展将进商圈</w:t>
      </w:r>
    </w:p>
    <w:p>
      <w:pPr>
        <w:spacing w:after="120" w:before="60" w:line="560" w:lineRule="exact"/>
        <w:jc w:val="left"/>
      </w:pPr>
      <w:r>
        <w:rPr>
          <w:rFonts w:ascii="仿宋_GB2312" w:eastAsia="仿宋_GB2312" w:hAnsi="仿宋_GB2312"/>
          <w:sz w:val="32"/>
          <w:szCs w:val="32"/>
        </w:rPr>
        <w:t xml:space="preserve">辽宁省抢抓《扩大消费“十五五”规划》机遇，于7月31日在辽宁工业展览馆启动2026辽宁五彩消费季·潮玩消费季，以“潮聚辽宁·漫享新消费”为主题，推动潮玩、潮服、动漫等新型消费与线下商圈深度融合，助力全省新型消费提质扩容。一是聚焦年轻群体布局潮玩新赛道。省商务厅明确抓住沈阳、大连获批国家“三新”试点城市契机，从政策活动双轮驱动、深挖本土文化资源打造特色IP、强化协会和金融机构服务支撑、面向新趋势培育消费热点四个方向系统发力，推动潮玩消费与商圈、市集、老字号、文博场馆跨界融合。二是推动“百场漫展进商圈”。沈阳市动漫产业协会计划下半年联合省内多个城市核心商圈，推出“动漫IP促消费·百场漫展进商圈”活动，把二次元流量导入实体商业空间，带动商圈客流与衍生消费。三是开放本土IP授权降低合作门槛。协会推动辽沈本土文创IP开放授权，降低中小消费品牌与IP方合作门槛，丰富潮玩市场供给，激活本土原创内容变现。四是配套潮玩专项金融服务。银联商务辽宁公司在活动现场发布潮玩专项金融举措，面向小微零售、餐饮、文博商户推出优惠政策，以金融手段降低商户参与潮玩消费的运营成本，完善“政策+活动+金融”支撑体系。</w:t>
      </w:r>
    </w:p>
    <w:p>
      <w:pPr>
        <w:spacing w:after="120" w:before="60" w:line="560" w:lineRule="exact"/>
        <w:jc w:val="left"/>
      </w:pPr>
      <w:r>
        <w:rPr>
          <w:rFonts w:ascii="仿宋_GB2312" w:eastAsia="仿宋_GB2312" w:hAnsi="仿宋_GB2312"/>
          <w:sz w:val="32"/>
          <w:szCs w:val="32"/>
        </w:rPr>
        <w:t xml:space="preserve">（信息来源：辽宁日报2026年8月3日《辽宁启动潮玩消费季 百场漫展将进商圈》  https://www.163.com/dy/article/L3CRE8UN05568W0A.html）</w:t>
      </w:r>
    </w:p>
    <w:p>
      <w:pPr>
        <w:spacing w:after="120" w:before="260"/>
        <w:jc w:val="left"/>
      </w:pPr>
      <w:r>
        <w:rPr>
          <w:rFonts w:ascii="黑体" w:eastAsia="黑体" w:hAnsi="黑体"/>
          <w:b/>
          <w:bCs/>
          <w:sz w:val="32"/>
          <w:szCs w:val="32"/>
        </w:rPr>
        <w:t xml:space="preserve">三、推动文旅体商深度融合（东北超赛事经济）</w:t>
      </w:r>
    </w:p>
    <w:p>
      <w:pPr>
        <w:spacing w:after="120" w:before="60" w:line="560" w:lineRule="exact"/>
        <w:jc w:val="left"/>
      </w:pPr>
      <w:r>
        <w:rPr>
          <w:rFonts w:ascii="仿宋_GB2312" w:eastAsia="仿宋_GB2312" w:hAnsi="仿宋_GB2312"/>
          <w:sz w:val="32"/>
          <w:szCs w:val="32"/>
        </w:rPr>
        <w:t xml:space="preserve">辽宁以“东北超”赛事为牵引，推动文旅体商深度融合，以新业态、新模式、新场景引领消费升级。一是推出“四重让利”撬动以旧换新。省商务厅实施“国补+厂补+店补+金融贴息”组合举措，推动汽车、家电、数码等消费品以旧换新，引导绿色智能消费升级。二是布局观赛“第二现场”激活夜间消费。全省围绕赛事打造866个观赛第二现场，构建“赛事+商圈+夜经济”消费新场景，将赛场人流导入周边商业与市集。三是做优“五彩消费季”活动矩阵。推出首发集结季、辽品好物争霸赛等特色活动，培育首发经济与“人工智能+消费”等新增长点，放大赛事经济与政策杠杆叠加效应。四是放大票根经济与嘉年华效应。继续打造“东北超”区域特色品牌，丰富“观赛+出游”配套体验，办热赛场嘉年华，推动赛事球票兑换景区游览等权益，把观赛人流转化为消费活力。五是丰富文旅消费新场景。全省落实文化场馆延时开放、做深文创开发，加快“辽作馆”建设并亮相上海进博会，推出“何以辽宁”精品展，遴选“人工智能+文旅”示范项目，策划房车露营、海岛游、古塔游、研学游等精品线路。六是建设“辽宁优品”公共品牌与激活住房消费。今年再评定一批“辽宁优品”引导品质消费；住建系统完善“好房子”政策体系，出台金融支持举措，推行住房以旧换新、带押过户与房票安置。</w:t>
      </w:r>
    </w:p>
    <w:p>
      <w:pPr>
        <w:spacing w:after="120" w:before="60" w:line="560" w:lineRule="exact"/>
        <w:jc w:val="left"/>
      </w:pPr>
      <w:r>
        <w:rPr>
          <w:rFonts w:ascii="仿宋_GB2312" w:eastAsia="仿宋_GB2312" w:hAnsi="仿宋_GB2312"/>
          <w:sz w:val="32"/>
          <w:szCs w:val="32"/>
        </w:rPr>
        <w:t xml:space="preserve">（信息来源：辽宁日报2026年8月3日《推动文旅体商深度融合——辽宁广大党员干部群众深入学习贯彻省委十三届十一次全会精神》  https://www.toutiao.com/article/7669574893997916707/）</w:t>
      </w:r>
    </w:p>
    <w:p>
      <w:pPr>
        <w:spacing w:after="120" w:before="260"/>
        <w:jc w:val="left"/>
      </w:pPr>
      <w:r>
        <w:rPr>
          <w:rFonts w:ascii="黑体" w:eastAsia="黑体" w:hAnsi="黑体"/>
          <w:b/>
          <w:bCs/>
          <w:sz w:val="32"/>
          <w:szCs w:val="32"/>
        </w:rPr>
        <w:t xml:space="preserve">四、人在场景里 花钱也乐意（安徽“大消费”促进机制）</w:t>
      </w:r>
    </w:p>
    <w:p>
      <w:pPr>
        <w:spacing w:after="120" w:before="60" w:line="560" w:lineRule="exact"/>
        <w:jc w:val="left"/>
      </w:pPr>
      <w:r>
        <w:rPr>
          <w:rFonts w:ascii="仿宋_GB2312" w:eastAsia="仿宋_GB2312" w:hAnsi="仿宋_GB2312"/>
          <w:sz w:val="32"/>
          <w:szCs w:val="32"/>
        </w:rPr>
        <w:t xml:space="preserve">安徽构建“大消费”促进机制，以跨部门协同打通行政壁垒，把分散在文旅、公安、商务、财政等环节的力量拧成一股绳，探索“造场子”提振消费的新路径。一是搭建沉浸式活动场景引流。上半年全省举办营业性演出18224场次（同比增长9.72%），合肥骆岗公园承接音乐节、家博会、风筝嘉年华等20余场科文旅活动，带动园区超40万人次客流；“超级皖”美食争霸赛、广场舞进商圈等融合美食、非遗、文旅元素，商圈客流增长30%至50%。二是创新“票根经济”与无感消费券。鼓励演出票根联动周边商圈折扣、免费游景区，形成“看戏+游玩+购物+美食”一体链条；合肥发布全省首个“即碰即用”夜经济消费券（规模300万元），支付宝“碰一下”支付自动核销、立减10元至76.6元，实现1∶9带动比，16条人气街区打卡超36万人次。三是深化大型演出审批“一件事”改革。7月21日集成联审模式全省推广，整合营业性演出审批、涉外演出审批、5000人以上大型活动安全许可等5项事项，实行“一表申请、一窗受理、并联审批”，全流程时限压缩至10个工作日以内，较改革前压缩63%。四是遴选“皖美消费”新场景。省发展改革委联合九部门开展新场景遴选推广，省商务厅会同财政、文旅推出“徽动消费·惊喜盲盒”活动，面向住宿、餐饮、零售等九大行业投放普惠激励，做优做强活动矩阵。</w:t>
      </w:r>
    </w:p>
    <w:p>
      <w:pPr>
        <w:spacing w:after="120" w:before="60" w:line="560" w:lineRule="exact"/>
        <w:jc w:val="left"/>
      </w:pPr>
      <w:r>
        <w:rPr>
          <w:rFonts w:ascii="仿宋_GB2312" w:eastAsia="仿宋_GB2312" w:hAnsi="仿宋_GB2312"/>
          <w:sz w:val="32"/>
          <w:szCs w:val="32"/>
        </w:rPr>
        <w:t xml:space="preserve">（信息来源：安徽日报2026年8月3日《年中经济观察④丨人在场景里 花钱也乐意》  https://www.ahnews.com.cn/toutiao2/pc/con/2026-08/03/571_1782652.html）</w:t>
      </w:r>
    </w:p>
    <w:p>
      <w:pPr>
        <w:spacing w:after="120" w:before="260"/>
        <w:jc w:val="left"/>
      </w:pPr>
      <w:r>
        <w:rPr>
          <w:rFonts w:ascii="黑体" w:eastAsia="黑体" w:hAnsi="黑体"/>
          <w:b/>
          <w:bCs/>
          <w:sz w:val="32"/>
          <w:szCs w:val="32"/>
        </w:rPr>
        <w:t xml:space="preserve">五、河北推动算力资源转化成产业优势</w:t>
      </w:r>
    </w:p>
    <w:p>
      <w:pPr>
        <w:spacing w:after="120" w:before="60" w:line="560" w:lineRule="exact"/>
        <w:jc w:val="left"/>
      </w:pPr>
      <w:r>
        <w:rPr>
          <w:rFonts w:ascii="仿宋_GB2312" w:eastAsia="仿宋_GB2312" w:hAnsi="仿宋_GB2312"/>
          <w:sz w:val="32"/>
          <w:szCs w:val="32"/>
        </w:rPr>
        <w:t xml:space="preserve">河北依托综合算力指数连续两年全国第一的基础，加快把算力资源转化为产业优势，从“卖机柜”向“卖词元”升级。一是发放“算力券”降低企业用算成本。广监云等大模型企业借助廊坊“算力券”优惠，算力成本降低40%至50%；河北人工智能计算中心作为全省首个全栈国产化公共算力平台，月度实际使用率稳定在95%以上，已与1000多家企业、200余个高校及科研机构团队建立联系，孵化170余个场景方案。二是布局环京智能算力集聚区。形成张家口、廊坊两大算力高地，联动石家庄、保定等地，截至2026年3月底全省智能算力规模达38.4万PFlops；润泽人工智能应用中心一期、中国电信怀来园区二期、世纪互联华北基地等重大项目接续投运。三是抢占词元经济新赛道。河北联通开发UniAI·智枢平台，汇聚通用语言、多模态及工业、政务、文旅等行业垂类模型，支持一站式调用与并行测试，用户按月充值即可按需采购词元；省发展改革委支持本土算力企业建设“词元工厂”，探索“API调用、按次计费、词元消耗”新型服务交易模式，构建算力支撑、词元流转、产业赋能全链条体系。四是推进高质量数据集供给。雄安集团获批国家数据局可信数据空间试点，建设具身智能语料加工平台统一采集标注150家机器人厂商数据；全省数据归集总量突破1万亿条、公共数据开放2130项，推动建设保张石邢邯数据标注基地，系统提升数据供给质量。</w:t>
      </w:r>
    </w:p>
    <w:p>
      <w:pPr>
        <w:spacing w:after="120" w:before="60" w:line="560" w:lineRule="exact"/>
        <w:jc w:val="left"/>
      </w:pPr>
      <w:r>
        <w:rPr>
          <w:rFonts w:ascii="仿宋_GB2312" w:eastAsia="仿宋_GB2312" w:hAnsi="仿宋_GB2312"/>
          <w:sz w:val="32"/>
          <w:szCs w:val="32"/>
        </w:rPr>
        <w:t xml:space="preserve">（信息来源：河北日报2026年8月3日《河北推动算力资源转化成产业优势》  https://www.163.com/dy/article/L3CU918R05568W0A.html）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2026-08-03T00:10:20.955Z</dcterms:created>
  <dcterms:modified xsi:type="dcterms:W3CDTF">2026-08-03T00:10:20.956Z</dcterms:modified>
</cp:coreProperties>
</file>

<file path=docProps/custom.xml><?xml version="1.0" encoding="utf-8"?>
<Properties xmlns="http://schemas.openxmlformats.org/officeDocument/2006/custom-properties" xmlns:vt="http://schemas.openxmlformats.org/officeDocument/2006/docPropsVTypes"/>
</file>