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/>
        <w:jc w:val="center"/>
      </w:pPr>
      <w:r>
        <w:rPr>
          <w:rFonts w:ascii="黑体" w:hAnsi="黑体" w:eastAsia="黑体"/>
          <w:b/>
          <w:sz w:val="32"/>
        </w:rPr>
        <w:t>媒体信息摘报</w:t>
      </w:r>
    </w:p>
    <w:p>
      <w:pPr>
        <w:spacing w:lineRule="exact" w:line="560"/>
      </w:pPr>
      <w:r>
        <w:rPr>
          <w:rFonts w:ascii="黑体" w:hAnsi="黑体" w:eastAsia="黑体"/>
          <w:b/>
          <w:sz w:val="32"/>
        </w:rPr>
        <w:t>建设高能级开放强省,浙江两步走</w:t>
      </w:r>
    </w:p>
    <w:p>
      <w:pPr>
        <w:spacing w:lineRule="exact" w:line="560" w:after="0"/>
      </w:pPr>
      <w:r>
        <w:rPr>
          <w:rFonts w:ascii="仿宋_GB2312" w:hAnsi="仿宋_GB2312" w:eastAsia="仿宋_GB2312"/>
          <w:sz w:val="32"/>
        </w:rPr>
        <w:t>围绕建设高能级开放强省目标，"十五五"期间浙江从贸易提质增效、双向投资互促、平台能级提升、枢纽辐射扩面、开放环境优化五个方面持续发力。一是贸易提质增效。持续打好"稳拓调优"组合拳，货物贸易强化贸易、工业联动，大力推动高新技术产品出口；服务贸易做强运输、旅行服务，做大电信计算机和信息、文化和娱乐服务；数字贸易加强人工智能技术应用，加快"直播+平台+跨境电商+海外仓"融合发展。二是双向投资互促。深化"投资浙里"全球大招商，完善海外综合服务体系，引导产供链合理有序跨境布局。三是平台能级提升。高标准建设大宗商品资源配置枢纽，深化义乌国际贸易综合改革，深入实施自贸试验区提升战略，推动开发区、综保区改革创新，建设金砖国家特殊经济区中国合作中心等平台，高质量办好数贸会等重大展会。四是枢纽辐射扩面。推进宁波舟山港世界一流强港建设，拓展陆路通道，纵深推进民航强省建设，加快建设现代化数字贸易港。五是开放环境优化。围绕服务最优、成本最低、效率最高，提升货物通关效率，推进境外人员便利化服务改革，畅通跨境资金流动通道，推动数据跨境安全自由流动。规划明确量化目标：到2030年，货物和服务贸易进出口总额占全国份额达12%左右，数字贸易进出口总额达12000亿元，服务贸易进出口总额达10000亿元，宁波舟山港集装箱吞吐量超5000万标箱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（信息来源：浙江日报8月21日《建设高能级开放强省,浙江两步走》  https://zjnews.zjol.com.cn/zjnews/202608/t20260821_31862006.shtml）</w:t>
      </w:r>
    </w:p>
    <w:p>
      <w:pPr>
        <w:spacing w:lineRule="exact" w:line="560"/>
      </w:pPr>
      <w:r>
        <w:rPr>
          <w:rFonts w:ascii="黑体" w:hAnsi="黑体" w:eastAsia="黑体"/>
          <w:b/>
          <w:sz w:val="32"/>
        </w:rPr>
        <w:t>解锁人产城共融密码</w:t>
      </w:r>
    </w:p>
    <w:p>
      <w:pPr>
        <w:spacing w:lineRule="exact" w:line="560" w:after="0"/>
      </w:pPr>
      <w:r>
        <w:rPr>
          <w:rFonts w:ascii="仿宋_GB2312" w:hAnsi="仿宋_GB2312" w:eastAsia="仿宋_GB2312"/>
          <w:sz w:val="32"/>
        </w:rPr>
        <w:t>吴江开发区将招商引资确定为"一号工程"，率先走出去赴深圳举办2026吴江经济技术开发区（深圳）产业创新合作推介会，发布"4+3+2+1"产业征集令，主动链接创新最活跃区域的科创、资本与硬科技资源。一是构建多元协同招商体系。招商局、科技局、综保局、创投公司等经济部门沿存量招商、机构招商、基金招商、园区招商、场景招商、产业链招商六大路径协同发力，对十亿、五十亿级龙头项目实行"一项目一专班"。二是推行全周期服务。深化工程建设审批制度改革，常态化落实"拿地即开工"模式，推行项目全流程帮办代办、电子化审批、延时便民服务，依托"AI+政务"精简办事环节、压缩项目前期筹备周期，开展服务企业、服务项目、服务园区和基层"三服务"专项行动。三是创新项目评审机制。探索"人才+科技+基金"项目评审机制，将项目落地时间从"以月计算"压缩至"以天计算"，解决优质人才项目融资难题。四是聚焦产业图谱精准强链。围绕算力芯片、泛半导体、高端装备、新能源等高成长性赛道精准强链、补链、延链，高标准推进苏州湾光子产业城、半导体设备与材料产业园、氢能未来能源专业园区等载体建设。此次推介会为吴江今年首场对外招商引资大会，选择深圳作为"最佳窗口"首发产业征集令，意在借力湾区创新资源，链接深圳科创、创投资本与硬科技企业，补齐自身产业生态、承接扩产配套需求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（信息来源：新华日报8月21日《解锁人产城共融密码》  https://xh.xhby.net/pad/con/202608/21/content_1583218.html）</w:t>
      </w:r>
    </w:p>
    <w:p>
      <w:pPr>
        <w:spacing w:lineRule="exact" w:line="560"/>
      </w:pPr>
      <w:r>
        <w:rPr>
          <w:rFonts w:ascii="黑体" w:hAnsi="黑体" w:eastAsia="黑体"/>
          <w:b/>
          <w:sz w:val="32"/>
        </w:rPr>
        <w:t>我市印发政府投资基金重点投资领域清单</w:t>
      </w:r>
    </w:p>
    <w:p>
      <w:pPr>
        <w:spacing w:lineRule="exact" w:line="560" w:after="0"/>
      </w:pPr>
      <w:r>
        <w:rPr>
          <w:rFonts w:ascii="仿宋_GB2312" w:hAnsi="仿宋_GB2312" w:eastAsia="仿宋_GB2312"/>
          <w:sz w:val="32"/>
        </w:rPr>
        <w:t>日前，天津市发展改革委等4部门印发《天津市政府投资基金重点投资领域清单》，以三级分类形式列示重点投资领域，主要包括绿色石化、汽车、高端装备、新一代信息技术、新能源新材料、生命健康、循环经济、现代服务业、现代都市型农业9个重点产业方向，覆盖7个国民经济行业门类和28个大类，细化至56个具体产业领域。《清单》明确围绕三个重点方向发力。一是扎实推进产业升级。坚持智能化、绿色化、融合化方向，加快绿色石化、汽车、高端装备等传统行业转型升级；加快发展新一代信息技术、生物医药、航空航天、新能源新材料、循环经济等新兴产业，差异化布局生物制造、脑机接口、具身智能、氢能及新型储能等未来产业，打造以先进制造业为骨干的现代化产业体系。二是促进科技创新与产业创新深度融合。以智能科技、生命科技、绿色低碳科技为引领，大力发展新技术、新产业、新业态、新模式，加强基础研究和原始创新、推动关键核心技术攻关、加快科技成果转化应用，推动创新链和产业链深度融合。三是因地制宜推动适度多元发展。加快发展研发设计与科技成果转化、检验检测、航运服务等生产性服务业，推动先进制造业和现代服务业深度融合；做精做特现代都市型农业，培育以育种创新、智慧农业和现代设施等为代表的农业新质生产力。《清单》引导基金投向生物制造、具身智能、脑机接口等长周期领域，践行"投早、投小、投长期、投硬科技"使命，并剔除不适宜投资领域，严守产能管控行业边界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（信息来源：天津日报8月21日《我市印发政府投资基金重点投资领域清单》  https://epaper.tianjinwe.com/tjrb/html/2026-08/21/content_143078_3759625.htm）</w:t>
      </w:r>
    </w:p>
    <w:p>
      <w:pPr>
        <w:spacing w:lineRule="exact" w:line="560"/>
      </w:pPr>
      <w:r>
        <w:rPr>
          <w:rFonts w:ascii="黑体" w:hAnsi="黑体" w:eastAsia="黑体"/>
          <w:b/>
          <w:sz w:val="32"/>
        </w:rPr>
        <w:t>我市构建12315投诉举报行政调解机制 上半年为消费者挽损3365.94万余元</w:t>
      </w:r>
    </w:p>
    <w:p>
      <w:pPr>
        <w:spacing w:lineRule="exact" w:line="560" w:after="0"/>
      </w:pPr>
      <w:r>
        <w:rPr>
          <w:rFonts w:ascii="仿宋_GB2312" w:hAnsi="仿宋_GB2312" w:eastAsia="仿宋_GB2312"/>
          <w:sz w:val="32"/>
        </w:rPr>
        <w:t>今年以来，天津市市场监管委紧扣"十项行动"工作要求，锚定"优化消费环境三年行动""优良消费生态打造工程"两大重点任务，贯彻新时代"枫桥经验"，构建12315投诉举报行政调解机制，上半年通过12315平台受理市场监管领域消费者权益纠纷29083件，为消费者挽回经济损失3365.94万余元。一是升级智慧调解技术底座。今年5月完成12315系统升级改造，实现全国12315平台、市级12315平台和12345便民专线三网互通，增设工单重派、数据对账、流程追溯等功能，行政调解权责划分更清晰；分两轮对12345话务人员全覆盖培训，提升行政调解精准度。二是做强在线消费纠纷解决机制。充分利用全国12315平台建设的在线消费纠纷解决系统，持续引导投诉高发商户入驻，全市纳入系统的单位达789家，其中今年新增61家，通过该系统直接化解纠纷2.6万余件，企业在线自主化解纠纷能力持续提升。三是织密线下基层调解网络。印发《关于持续加强消费维权服务站建设工作的通知》，推进调解维权服务"五进"工作，在商场、超市、市场、企业、景区扩容消费维权服务站，今年以来新建站点157家，把行政调解延伸至消费一线，实现小纠纷现场调、简易矛盾就地解。通过线上系统、热线互通与线下站点协同发力，构建起覆盖消费全链条的行政调解网络，营造安全放心消费环境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（信息来源：天津日报8月21日《我市构建12315投诉举报行政调解机制 上半年为消费者挽损3365.94万余元》  https://epaper.tianjinwe.com/tjrb/html/2026-08/21/content_143080_3759637.htm）</w:t>
      </w:r>
    </w:p>
    <w:p>
      <w:pPr>
        <w:spacing w:lineRule="exact" w:line="560"/>
      </w:pPr>
      <w:r>
        <w:rPr>
          <w:rFonts w:ascii="黑体" w:hAnsi="黑体" w:eastAsia="黑体"/>
          <w:b/>
          <w:sz w:val="32"/>
        </w:rPr>
        <w:t>上海公安这一举措,坚定了科创企业持续攻关关键核心技术的信心与决心</w:t>
      </w:r>
    </w:p>
    <w:p>
      <w:pPr>
        <w:spacing w:lineRule="exact" w:line="560" w:after="0"/>
      </w:pPr>
      <w:r>
        <w:rPr>
          <w:rFonts w:ascii="仿宋_GB2312" w:hAnsi="仿宋_GB2312" w:eastAsia="仿宋_GB2312"/>
          <w:sz w:val="32"/>
        </w:rPr>
        <w:t>上海公安机关依托"蓝鲸-警企直联"护企工作机制，在刑事打击之外跨前服务，构筑更严密的商业秘密防护屏障，遏制泄密次生影响，为科创企业攻关关键核心技术保驾护航。一是组建专业战队严打窃密。针对商业秘密遭受侵犯风险上升，上海公安组建"珠峰战队"专司商业秘密等涉企案件侦查，从接报单点线索深挖扩线，侦破完整窃密链条。二是建立警企直联护企机制。依托"蓝鲸-警企直联"工作机制，面向先导创新、生物医药、网络科技等行业的150余家重点企业召开主题讲座，推动风险隐患早识别、早处置，将服务前置到企业日常经营环节。三是构建覆盖企业全生命周期的"一站式"护航体系。以全市"蓝鲸"护企工作站、护企工作室（点）为载体，为企业提供法律咨询、纠纷化解、合规指导等服务，强化涉企案件规范办理。四是畅通线上线下对接渠道。依托"蓝鲸"护企线上专窗，企业可在线申报诉求，结合民警日常走访摸排、行业主管部门行政移送等多渠道主动归集风险线索，实现"进一站门、办各类事、解所有难"。五是规范涉企案件办理。建立健全刑事办案协作机制，归口审核异地公安机关刑事办案协作请求，严格执行涉案财物处置程序规定，严防"超权限、超范围、超期限"查扣冻，降低对企业正常经营的影响。上海公安以"蓝鲸-警企直联"为抓手，推动护企服务从被动受案向主动防范延伸，将商业秘密保护关口前移至企业日常经营环节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（信息来源：解放日报8月21日《上海公安这一举措,坚定了科创企业持续攻关关键核心技术的信心与决心》  https://so.html5.qq.com/page/real/search_news?docid=70000021_3206a87846d73552）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/>
      <w:sz w:val="32"/>
    </w:rPr>
    <w:rFonts w:eastAsia="仿宋_GB2312" w:ascii="仿宋_GB2312" w:hAnsi="仿宋_GB2312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