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jc w:val="center"/>
      </w:pPr>
      <w:r>
        <w:rPr>
          <w:rFonts w:ascii="仿宋_GB2312" w:hAnsi="仿宋_GB2312" w:eastAsia="仿宋_GB2312"/>
          <w:b/>
          <w:sz w:val="32"/>
        </w:rPr>
        <w:t>2026年8月13日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一、连续两年吸纳超百万 高校毕业生就业创业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广东省自实施“百万英才汇南粤”行动计划以来，连续两年实现应届毕业生来粤就业创业规模超百万人次，形成部省联动、省市协同、线上线下贯通的人才吸纳格局。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一是开展部省联动春季招聘，组织近2000家用人单位提供8.5万个优质岗位，联动全国2000多所高校面向17万名毕业生精准推送，搭建跨区域人才供需对接通道。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二是实施“N城联动”巡回招聘，在13个省份举办120场专场活动，发动7400家企事业单位提供22万个岗位，把招聘会开到毕业生家门口。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三是开设省级引才专题，围绕先进制造、人工智能、低空经济等10类重点产业归集3400家单位11.7万个岗位，实行产业靶向引才。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四是建设线上“粤就业”服务专区，归集简历107万份，引入AI模拟面试、智能岗位匹配等功能，实现求职招聘全天候在线对接。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五是推行人才公寓线上预约，为来粤青年提供低成本安居保障，配套落户、补贴等一站式服务，降低跨省就业创业门槛。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（信息来源：南方日报8月13日《连续两年吸纳超百万 高校毕业生就业创业》  https://epaper.nfnews.com/nfdaily/html/202608/13/content_10178540.html）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二、江苏16条措施赋能非遗小微企业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江苏省文化和旅游厅等10部门联合出台《关于支持非遗小微企业发展的若干措施（试行）》，提出16条具体举措，系统性破解非遗小微企业规模小、渠道窄、转化难等问题。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一是开展非遗小微企业摸排，从各级非遗名录中择优遴选约300家作为重点扶持对象，建立动态管理清单。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二是落实租金减免政策，支持利用老旧厂房、历史文化街区等空间设立非遗工坊，降低生产经营成本。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三是搭建设计赋能平台，全年举办100场设计沙龙、推动50家设计机构与非遗企业结对、开发100款联名文创产品，提升产品市场竞争力。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四是实施“AI伙伴计划”，鼓励非遗小微企业运用人工智能辅助纹样生成、内容创作与电商运营，拓宽数字化营销路径。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五是推动文博IP授权与非遗融合，全年推介100家、对接50家重点企业，联动腾讯、网易、小米等平台拓展销售场景。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六是组织展销对接，全年开展展销活动300场、体验式销售1000场，新增10款非遗产品进入免税店销售。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七是强化人才与品牌支撑，全年培训从业人员500人次，为200家企业提供品牌诊断、为200家企业提供知识产权服务，补齐发展短板。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（信息来源：江南时报8月13日《江苏16条措施赋能非遗小微企业》  https://news.10jqka.com.cn/20260813/c678909667.shtml）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三、【活力中国调研行】国家发展改革委专家谈湖南发展AI的优势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在“活力中国调研行”采访中，国家发展改革委有关专家剖析湖南发展人工智能产业的差异化优势，指出湖南已构建从顶层设计、应用场景、人才储备到算力支撑的完整生态。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一是强化顶层布局，2025年出台《湖南省促进人工智能产业发展实施方案》，明确“5大领域14个赛道”主攻方向，形成全省协同推进格局。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二是深耕特色应用场景，依托工程机械、轨道交通、航空航天三大世界级产业集群，开放矿山、工厂、工地、交通等真实产业场景，推动人工智能与实体经济深度融合，催生垂直行业大模型。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三是厚植人才根基，发挥3所985高校学科优势，依托芙蓉实验室等高能级平台集聚高端创新人才，构建产学研用一体化培养体系。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四是夯实算力底座，作为“银河”“天河”超级计算机的诞生地，湖南建成总算力达13000PF、智能算力4800PF的供给体系，为模型训练推理提供低成本、高可靠算力保障。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五是促进成果转化，建设一批人工智能应用场景示范区和产教融合平台，引导企业围绕优势产业开发专用模型与智能体，形成“场景牵引—技术突破—产业落地”闭环。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（信息来源：湖南日报8月13日《【活力中国调研行】国家发展改革委专家谈湖南发展AI的优势》  https://so.html5.qq.com/page/real/search_news?docid=70000021_4596a7cffe120952）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四、推动服务业向好向优向新发展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河北省全面落实全国服务业大会要求，印发实施《河北省推进服务业扩能提质实施方案》，配套制定工业设计、知识产权、养老托育、文化创意等15个专项方案，构建起全省服务业发展“1+15”政策体系。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一是加快科技服务扩能，筹建先进制造实验室，实体化运行钢铁、绿色化工、电力、现代交通4家省级实验室，争取重大科技项目和创新平台布局。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二是发展制造服务，建成工业互联网“1+21”平台体系，开发钢铁、化工、交通等行业垂直大模型441个、智能体98个，推动制造业与服务业融合。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三是优化专业服务，上半年发布服务业地方标准9项、获批国家服务业标准化试点1项，提升服务规范化水平。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四是做活文旅体服务，推动京津冀旅游景区联票扩面提质，联动京津拓展客源市场。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五是做精居民服务，推动“河北福嫂”实现京津就业17.1万人，150个京津冀医联体实现设区市全覆盖，重点人群家庭医生签约率保持85%以上。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六是做细养老托育，建设养老机构2080家、床位26.8万张，累计培育普惠托育机构604家、普惠托位2.6万个。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下一步，河北将实施“人工智能+”行动开发更多垂直大模型，深化“共享智造”赋能产业集群，推广“共享贷”“产业集群贷”等金融服务，建设一刻钟便民生活圈。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（信息来源：河北日报8月13日《推动服务业向好向优向新发展》  https://finance.sina.cn/2026-08-13/detail-ininchnz3615613.d.html）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五、贵阳市“消夏消费季”促消费活动启动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贵阳市于8月12日启动2026年“消夏消费季”促消费活动，推出200余场主题活动，点燃暑期消费热潮。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一是贯穿节庆节点，活动时间为期跨越整个暑期、七夕、中秋、国庆，覆盖“吃、喝、玩、乐、购、游、娱、动”全消费场景，形成持续性的消费热点。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二是强化区域联动，各区（市、县、开发区）联动商圈、景区、街区、车企商超、家电卖场、餐饮门店，共同推出超200余场促消费活动，实现全域覆盖。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突出主题片区，花溪区作为活动主力组织63场活动，同步开展2026现代五项世界锦标赛配套促消费；8月15日至31日，明珠大道、保利溪湖、板桥艺术村、亨特公园里、万科生活广场、花溪公园等片区商户凭赛事票根可在餐饮、零售、文创等数十家门店享受专属折扣，清溪云廊同步开启夏日露天放映会、夜间街头Live演绎及周末消费抽奖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四是开展汽车家电“六进”活动，联合车企将汽车、家电促销进机关、进企业、进社区、进乡村、进商圈、进景区，同步推进消费品以旧换新“进机关、进企业”。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五是发放满减券等优惠政策，让群众切实享受政策红利，持续提振消费信心、挖掘消费潜力。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（信息来源：贵州日报8月13日《贵阳市“消夏消费季”促消费活动启动》  https://finance.sina.cn/2026-08-13/detail-inincnuy3402631.d.html）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