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after="120"/>
        <w:jc w:val="center"/>
      </w:pPr>
      <w:r>
        <w:rPr>
          <w:rFonts w:ascii="黑体" w:hAnsi="黑体" w:eastAsia="黑体"/>
          <w:b/>
          <w:sz w:val="32"/>
        </w:rPr>
        <w:t>媒体信息摘报</w:t>
      </w:r>
    </w:p>
    <w:p>
      <w:pPr>
        <w:spacing w:lineRule="exact" w:line="560" w:after="40"/>
        <w:ind w:firstLine="640"/>
      </w:pPr>
      <w:r>
        <w:rPr>
          <w:rFonts w:ascii="仿宋_GB2312" w:hAnsi="仿宋_GB2312" w:eastAsia="仿宋_GB2312"/>
          <w:sz w:val="32"/>
        </w:rPr>
        <w:t>（2026年9月3日 · 省级党报经济·科技·消费创新举措精选，福建省可借鉴）</w:t>
      </w:r>
    </w:p>
    <w:p>
      <w:pPr>
        <w:spacing w:lineRule="exact" w:line="560" w:before="200" w:after="40"/>
        <w:ind w:firstLine="640"/>
      </w:pPr>
      <w:r>
        <w:rPr>
          <w:rFonts w:ascii="黑体" w:hAnsi="黑体" w:eastAsia="黑体"/>
          <w:b/>
          <w:sz w:val="32"/>
        </w:rPr>
        <w:t>一、2030年北京市外资研发中心将达500家</w:t>
      </w:r>
    </w:p>
    <w:p>
      <w:pPr>
        <w:spacing w:lineRule="exact" w:line="560" w:after="40"/>
        <w:ind w:firstLine="640"/>
      </w:pPr>
      <w:r>
        <w:rPr>
          <w:rFonts w:ascii="仿宋_GB2312" w:hAnsi="仿宋_GB2312" w:eastAsia="仿宋_GB2312"/>
          <w:sz w:val="32"/>
        </w:rPr>
        <w:t>北京市商务局9月2日发布《北京市“十五五”时期高水平开放型经济发展规划》。一是提升外资研发中心与总部能级。到2030年，全市累计认定外资研发中心由2025年的332家提升至500家左右，跨国公司地区总部由284家增至300家左右，“十五五”时期实际利用外资规模达到350亿美元左右。二是构建全域开放格局。持续深化国家服务业扩大开放综合示范区建设，完善以贸易、投资、资金流动、交通运输、人员往来自由便利和数据安全有序流动为重点的自贸试验区政策体系；提档升级服贸会、中关村论坛、金融街论坛、北京文化论坛四大国际化开放平台；推动建设50个左右标志性开放项目。三是建强重点产业园区。中德经济技术合作先行示范区聚焦智能网联新能源汽车、智能装备；中欧创新产业园聚焦医药健康；中关村朝阳园发展人工智能、产业互联网、元宇宙、数字医疗；中关村延庆园、门头沟园探索绿色能源、超高清数字视听、心血管创新药械开放合作。四是升级国际化配套服务。探索在境外人员集中区域建立一站式外籍人士服务中心，争取在京开展境外人员服务便利化改革先行先试，优化签证、停居留、证件办理等领域便利化服务。五是培育数字贸易新引擎。建设数据跨境服务中心，探索建立重点行业领域重要数据识别认定机制；依托中关村软件园国家数字服务出口基地培育制度、科技双创新的数字贸易集聚区；拓展数字人民币在数字贸易中的应用场景。</w:t>
      </w:r>
    </w:p>
    <w:p>
      <w:pPr>
        <w:spacing w:lineRule="exact" w:line="560" w:before="40"/>
        <w:ind w:firstLine="640"/>
      </w:pPr>
      <w:r>
        <w:rPr>
          <w:rFonts w:ascii="仿宋_GB2312" w:hAnsi="仿宋_GB2312" w:eastAsia="仿宋_GB2312"/>
          <w:sz w:val="32"/>
        </w:rPr>
        <w:t>（信息来源：北京日报9月3日《2030年北京市外资研发中心将达500家》  https://cj.sina.cn/article/norm_detail?url=https%3A%2F%2Ffinance.sina.com.cn%2Fjjxw%2F2026-09-03%2Fdoc-iniqnyaa4305689.shtml）</w:t>
      </w:r>
    </w:p>
    <w:p>
      <w:pPr>
        <w:spacing w:lineRule="exact" w:line="560" w:before="200" w:after="40"/>
        <w:ind w:firstLine="640"/>
      </w:pPr>
      <w:r>
        <w:rPr>
          <w:rFonts w:ascii="黑体" w:hAnsi="黑体" w:eastAsia="黑体"/>
          <w:b/>
          <w:sz w:val="32"/>
        </w:rPr>
        <w:t>二、最高1500元/类！这笔补贴12月底截止</w:t>
      </w:r>
    </w:p>
    <w:p>
      <w:pPr>
        <w:spacing w:lineRule="exact" w:line="560" w:after="40"/>
        <w:ind w:firstLine="640"/>
      </w:pPr>
      <w:r>
        <w:rPr>
          <w:rFonts w:ascii="仿宋_GB2312" w:hAnsi="仿宋_GB2312" w:eastAsia="仿宋_GB2312"/>
          <w:sz w:val="32"/>
        </w:rPr>
        <w:t>江苏省发展改革委、江苏省财政厅、江苏省商务厅日前联合发布通告，明确江苏消费品以旧换新地方自主品类补贴政策迎来优化调整。一是扩大补贴品类范围。在原有自主补贴品类基础上，结合消费者最新需求，将补贴范围优化调整为十大类智能家电、家居及数码产品，更好对接居民升级型、智能化、适老化消费需求。二是明确补贴标准与方式。消费者购买十大类产品，在享受商家各类优惠之后，政府再按最终销售价格的15%给予补贴；每人每个细分品类可补贴1件，每件补贴不超过1500元，切实降低智能家电家居数码产品换新成本。三是限定政策实施期限。补贴政策自2026年8月29日起实施，至2026年12月31日结束；补贴资金实行限额管理，用完即止，引导消费者合理安排换新节奏。四是强化资金闭环管理。政策采取“商家优惠+政府补贴”两段式兑付，在最终销售价格基础上核算补贴基数，既放大财政杠杆效应，又防范套补风险，确保补贴资金精准惠及真实消费，持续释放智能消费新动能。</w:t>
      </w:r>
    </w:p>
    <w:p>
      <w:pPr>
        <w:spacing w:lineRule="exact" w:line="560" w:before="40"/>
        <w:ind w:firstLine="640"/>
      </w:pPr>
      <w:r>
        <w:rPr>
          <w:rFonts w:ascii="仿宋_GB2312" w:hAnsi="仿宋_GB2312" w:eastAsia="仿宋_GB2312"/>
          <w:sz w:val="32"/>
        </w:rPr>
        <w:t>（信息来源：常州发布9月3日《最高1500元/类！这笔补贴12月底截止》  https://www.sohu.com/a/1071234334_121106832）</w:t>
      </w:r>
    </w:p>
    <w:p>
      <w:pPr>
        <w:spacing w:lineRule="exact" w:line="560" w:before="200" w:after="40"/>
        <w:ind w:firstLine="640"/>
      </w:pPr>
      <w:r>
        <w:rPr>
          <w:rFonts w:ascii="黑体" w:hAnsi="黑体" w:eastAsia="黑体"/>
          <w:b/>
          <w:sz w:val="32"/>
        </w:rPr>
        <w:t>三、逛展领消费券，这届中原文博会太会了！</w:t>
      </w:r>
    </w:p>
    <w:p>
      <w:pPr>
        <w:spacing w:lineRule="exact" w:line="560" w:after="40"/>
        <w:ind w:firstLine="640"/>
      </w:pPr>
      <w:r>
        <w:rPr>
          <w:rFonts w:ascii="仿宋_GB2312" w:hAnsi="仿宋_GB2312" w:eastAsia="仿宋_GB2312"/>
          <w:sz w:val="32"/>
        </w:rPr>
        <w:t>9月2日，河南省委宣传部举行新闻发布会，介绍第十三届中原文化产业博览交易会有关情况。本届中原文博会将于2026年9月10日至13日在鹤壁市朝歌文化园举办，以“古韵新生·创意中原”为主题，推出一系列惠民措施。一是发放专属消费福利。中原文博会期间，本地市民和来鹤游客登录“鹤壁促消费”微信小程序或云闪付平台，领取零售、住宿、餐饮、景区、影院、体育健身等领域商家电子优惠券，到店核销即可享受对应优惠；平台组织线上抽奖，消费者可参与抽取商品消费券；严格规范商户经营行为，严禁先涨价后打折。二是打造“文博+”消费新场景。组织全市文旅、餐饮零售、康养娱乐等多业态商家开展促销活动，同步策划商圈市集、网红带货等配套活动，打造“文博+赛事+商圈+文旅”融合消费场景，把展会参观流量高效转化为消费增量。三是拓展夜间消费场景。在裕隆、万达等核心商圈集中展示国潮文创、非遗技艺、本地老字号和特色商品；浚县古城、朝歌老街推出音乐夜场、戏曲专场、廊桥音乐会、美食集市、啤酒节等活动，激发夜间消费热情。四是培育特色消费品牌。将活动商户、本土文创企业全部纳入促消费资源库，结合中秋、国庆等节点持续开展常态化惠民活动，将阶段性展会红利转化为稳定消费动能，培育鹤壁特色文体旅商消费品牌。</w:t>
      </w:r>
    </w:p>
    <w:p>
      <w:pPr>
        <w:spacing w:lineRule="exact" w:line="560" w:before="40"/>
        <w:ind w:firstLine="640"/>
      </w:pPr>
      <w:r>
        <w:rPr>
          <w:rFonts w:ascii="仿宋_GB2312" w:hAnsi="仿宋_GB2312" w:eastAsia="仿宋_GB2312"/>
          <w:sz w:val="32"/>
        </w:rPr>
        <w:t>（信息来源：河南日报9月3日《逛展领消费券，这届中原文博会太会了！》  https://news.dahe.cn/2026/09-03/2127452.html）</w:t>
      </w:r>
    </w:p>
    <w:p>
      <w:pPr>
        <w:spacing w:lineRule="exact" w:line="560" w:before="200" w:after="40"/>
        <w:ind w:firstLine="640"/>
      </w:pPr>
      <w:r>
        <w:rPr>
          <w:rFonts w:ascii="黑体" w:hAnsi="黑体" w:eastAsia="黑体"/>
          <w:b/>
          <w:sz w:val="32"/>
        </w:rPr>
        <w:t>四、重磅 | 天津最新方案发布！</w:t>
      </w:r>
    </w:p>
    <w:p>
      <w:pPr>
        <w:spacing w:lineRule="exact" w:line="560" w:after="40"/>
        <w:ind w:firstLine="640"/>
      </w:pPr>
      <w:r>
        <w:rPr>
          <w:rFonts w:ascii="仿宋_GB2312" w:hAnsi="仿宋_GB2312" w:eastAsia="仿宋_GB2312"/>
          <w:sz w:val="32"/>
        </w:rPr>
        <w:t>9月1日，天津市交通运输委员会会同天津市文化和旅游局印发《天津市交通运输与旅游融合高质量发展实施方案（2026—2028年）》，明确近三年交旅融合的思路举措与任务目标。一是构建“5+N”品牌体系。做强海河游船、游艇邮轮、公交巴士、“最美印蓟”自驾、铁路文旅5大品牌，拓展邮政文旅、航空文旅、水上运动等多个新场景，明确88项任务举措。二是设定量化目标。到2028年，天津基本形成布局合理、特色鲜明的交旅融合发展新格局，培育形成40个以上交旅融合特色产品，年直接服务人次突破470万、年均增长10%以上。三是擦亮5张名片。海河游船加密优化航线、营造“水上观津城、下游看大海”全域水上游览新场景；游艇邮轮构建“海上+内河”“邮轮+全域”联动格局、建成北方国际邮轮旅游中心；公交文旅打造“中心城区串游+滨海沿线观光”主题；“最美印蓟”自驾路完善标识标牌、停车、能源补给等设施；铁路文旅常态化运营“津旅时光号”动态旅游专列、盘活天津西站老站房。四是培育N个新场景。选取特定河段时段培育桨板、皮划艇等水上运动；推出邮政博物馆夜游；以《潞河督运图》为主线打造三条研学线路；改造提升“两航起义”展览馆打造全国红色研学示范基地；打造武清运河八镇精品自驾路。五是夯实政策与设施支撑。吸引外地优质交旅企业来津投资，支持本土企业向“交通+文旅”复合业态转型升级；推出联票、套票等优惠产品；提升公共交通文旅服务水平，推动小微客车租赁便利化，加速津潍高铁、京滨城际南段等交通基础设施建设。</w:t>
      </w:r>
    </w:p>
    <w:p>
      <w:pPr>
        <w:spacing w:lineRule="exact" w:line="560" w:before="40"/>
        <w:ind w:firstLine="640"/>
      </w:pPr>
      <w:r>
        <w:rPr>
          <w:rFonts w:ascii="仿宋_GB2312" w:hAnsi="仿宋_GB2312" w:eastAsia="仿宋_GB2312"/>
          <w:sz w:val="32"/>
        </w:rPr>
        <w:t>（信息来源：天津日报9月3日《重磅 | 天津最新方案发布！》  https://so.html5.qq.com/page/real/search_news?docid=70000021_1766a98484763652）</w:t>
      </w:r>
    </w:p>
    <w:p>
      <w:pPr>
        <w:spacing w:lineRule="exact" w:line="560" w:before="200" w:after="40"/>
        <w:ind w:firstLine="640"/>
      </w:pPr>
      <w:r>
        <w:rPr>
          <w:rFonts w:ascii="黑体" w:hAnsi="黑体" w:eastAsia="黑体"/>
          <w:b/>
          <w:sz w:val="32"/>
        </w:rPr>
        <w:t>五、天津出台2026年营商环境“施工图” 部署五大行动</w:t>
      </w:r>
    </w:p>
    <w:p>
      <w:pPr>
        <w:spacing w:lineRule="exact" w:line="560" w:after="40"/>
        <w:ind w:firstLine="640"/>
      </w:pPr>
      <w:r>
        <w:rPr>
          <w:rFonts w:ascii="仿宋_GB2312" w:hAnsi="仿宋_GB2312" w:eastAsia="仿宋_GB2312"/>
          <w:sz w:val="32"/>
        </w:rPr>
        <w:t>9月2日，天津市政府新闻办举行政策吹风会，解读《2026年天津市推进营商环境提质升级行动计划》。该计划提出五项行动、23项任务，为全年营商环境优化提供具体抓手和实施路径。一是强化要素供给。实施小微企业首笔信用普惠贷款风险补偿政策，适度提高科技创新类小微企业风险补偿比例；实施“海河英才”行动计划，强化高层次数字人才引进；建立“企业创新积分制”，提供全链条金融服务。二是优化市场环境。常态化开展公平竞争审查抽查检查，开展反垄断“执法护企”和反不正当竞争专项行动；开展“人工智能+登记”试点；完善海外知识产权维权指导服务网络。三是法治护企。全面推行“扫码入企”“一表通查”等制度；更新行政执法免罚清单，依法实施“首违不罚、轻微免罚”；深化“律企同行·法护营商”活动，优化跨域立案渠道。四是开放创新。聚焦新一代信息技术、绿色石化、高端装备制造等主导产业强化要素供给；依托天津东疆自贸助企出海综合服务港打造8个特色服务中心；推进智慧口岸“数智港”建设，实现“通关+物流”全链条贯通。五是升级政务服务。建设政务服务电子签名系统，推进全流程电子化办理；深化网上办事大厅与“津心办”平台融合，推动更多高频事项“网上办、掌上办、码上办、一次办”；升级公共资源交易电子监管系统，构建全链条闭环管理机制。</w:t>
      </w:r>
    </w:p>
    <w:p>
      <w:pPr>
        <w:spacing w:lineRule="exact" w:line="560" w:before="40"/>
        <w:ind w:firstLine="640"/>
      </w:pPr>
      <w:r>
        <w:rPr>
          <w:rFonts w:ascii="仿宋_GB2312" w:hAnsi="仿宋_GB2312" w:eastAsia="仿宋_GB2312"/>
          <w:sz w:val="32"/>
        </w:rPr>
        <w:t>（信息来源：天津日报9月2日《天津出台2026年营商环境“施工图” 部署五大行动》  https://view.inews.qq.com/a/20260902A0EEYM00）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