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after="24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="560" w:lineRule="exact" w:after="240"/>
        <w:jc w:val="center"/>
      </w:pPr>
      <w:r>
        <w:rPr>
          <w:rFonts w:ascii="黑体" w:hAnsi="黑体" w:eastAsia="黑体"/>
          <w:b/>
          <w:sz w:val="32"/>
        </w:rPr>
        <w:t>（2026年8月24日）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一、冲刺全年10万亿元营收目标 浙江全力推进415X先进制造业集群向新向优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为全力冲刺全年10万亿元营收目标，浙江以五大实招推动“415X”先进制造业集群“动能向新、结构向优”。上半年，全省集群规上营收达5.3万亿元，同比增长11.6%；规上企业研发费用1885.3亿元，同比增长8.5%，研发占比3.5%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一是梯度培育，持续深化“省级—国家级—世界级”梯度培育体系，支持纺织服装、绿色石化、视觉智能（数字安防）等集群率先探索培育世界级集群；今年新增低空经济与航空航天赛道，推进第四批核心区协同区和“新星”产业群遴选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二是链群协同，落实新一轮链长方案，动态调整一批省级链主企业，发挥链长、链主、专家服务团作用，在技术攻关、场景开放、要素共享上引领；优化“链企直通车”服务机制，诉求分类搜集、统一交办、定期督办闭环管理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三是创新融合，实施企业研发机构“扩容”工程，修订企业技术中心管理办法，争创国家级企业技术中心；推进省级中试平台新认定，加快实现集群重点领域全覆盖。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四是数智赋能，印发《浙江省人工智能赋能制造业数字化转型实施方案（2026—2030年）》，加快建设杭州具身智能、宁波石化化工等人工智能应用中试基地，推动一批“AI制造”典型场景落地。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五是项目投资，推进954个“415X”集群重大项目，上半年完成投资1422.1亿元，占5亿元以上制造业重大项目完成投资比重87.3%，投资完成率78.6%。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（信息来源：浙江日报8月24日《冲刺全年10万亿元营收目标 浙江全力推进415X先进制造业集群向新向优》  https://www.toutiao.com/article/7677369221692654115/）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二、看深圳：“奇迹之城”是开放创新合作鲜活案例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深圳以开放创新合作实践，为沿海地区提供可借鉴的产业升级路径。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一是先进制造出海，形成以先进制造业为主体的现代化产业体系，新能源汽车、人工智能、机器人等新兴业态持续涌现；今年前4月比亚迪海外市场销量超45万辆，上半年深圳对APEC其他成员经济体进出口1.98万亿元，同比增长33%，电动汽车、锂电池、光伏产品等“新三样”出口667.8亿元，同比增长28.9%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二是跨境电商与海外仓协同，前海跨境贸易物流监管中心日均清关跨境电商包裹超70万件、车辆超400辆；2024年深圳跨境电商进出口额达3720亿元，企业建设运营海外仓面积超420万平方米，机场、港口、中欧班列织起“海陆空铁”立体出海网络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三是AI深度渗透产业，2025年深圳人工智能核心产业营收2200亿元，规上人工智能企业超2600家；思谋科技工业AI智能体服务全球超730家客户，交付约14万个、累计检测超170亿件产品；兔展智能开源视觉大模型单模型下载超2600万次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四是人文经贸融合，原创舞剧《咏春》走过59座城市、累计337场、观演约46万人次；电影《给阿嬷的情书》海外票房破1亿元，登陆新加坡、马来西亚、泰国、日本院线。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（信息来源：南方日报8月24日《看深圳：“奇迹之城”是开放创新合作鲜活案例》  https://epaper.nfnews.com/nfdaily/html/202608/24/content_10179482.html）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三、山东的夏夜，不只有灯光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山东以多元夜游新场景激活文旅消费，推动夜间经济从餐饮购物向文化、演艺等领域拓展。入夏以来，全省重点商圈、主题街区、景区开展多元形态夜游活动。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一是海上夜游IP，蓬莱“寻仙游”夜航7月首航，累计接待游客近6000人次、上座率90%；动画电影《八仙！》带动八仙传说破圈，蓬莱八仙主题文创实现30%—50%增长。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二是街区夜经济焕新，济南大明湖推出“明湖夜酌Barhop嘉年华”，设20个市集摊位，带动景区客流增长7%以上；济南动物园66年来首开夜游，明水古城、台儿庄古城音乐节、东平新大宋不夜城以“演艺+NPC”让游客“一秒入宋”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三是啤酒节引流，青岛国际啤酒节西海岸新区会场接待718万人次，周边3公里酒店预订热度环比涨超60%；崂山会场吸引81.9万人次，拉动消费4.97亿元。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四是餐饮演艺融合，淄博八大局探索“烧烤+室内演艺”小剧场模式，演出齐国韶羽舞、姜太公封齐等历史演艺，冬季本地客流亦明显增长。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五是延展消费链条，推动日间游客转化为过夜游客（消费差2—3倍），让夜游从景区延伸至城市生活，实现多业态深度融合。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（信息来源：大众日报8月24日《山东的夏夜，不只有灯光》  https://www.toutiao.com/article/7677376070475153955/）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四、“北京机域”绘就具身智能新蓝图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北京经开区以“北京机域”具身智能制造引领区为承载，构建城市级具身智能产业生态。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一是打造城市级试验场，统筹12平方公里空间，释放300万平方米产业载体，机器人大世界从1.0展厅升级为3.0“一座城”；按照规划，加快打造100款可实际落地的特色机器人产品，推动在1000种细分领域实现应用，加快实现10万台套级具身智能机器人规模量产，形成100万套关键核心零部件生产能力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二是构建“1234”产业支撑体系，形成一片空间、两个平台（智能经济研究院、全生命周期管理平台）、三大创新基地（开发者社区、数据综合服务基地、产教融合基地）、四类智造能力（快速响应、柔性打样、批量制造、车机复用）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三是迈向千亿级集群，“十五五”期间推动机器人和智能制造迈向千亿级产业集群，统筹南北两大机器人产业集聚区，布局高能级创新平台、检验检测基地。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四是开放真实场景，打通“技术突破—场景验证—产业应用—迭代升级”完整路径，持续开放工业、市政、医疗、养老等海量真实场景。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五是全链条覆盖，产业涵盖核心芯片、关键零部件、整机制造、场景应用等全链条，人形机器人、医疗手术机器人、工业智能装备等多赛道稳居全国第一方阵。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（信息来源：北京日报8月24日《“北京机域”绘就具身智能新蓝图》  https://bjrb-app.bjd.com.cn/content/s6a861807e4b0e45f3fd63d38.html）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五、北京发布16个人工智能赋能科学研究典型案例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北京系统布局人工智能赋能科学研究（AI4S），发布首批16个典型案例。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一是印发实施方案，今年6月中共北京市委教育科技人才工作领导小组印发《北京市加快推进人工智能赋能科学研究实施方案》，围绕科学智能关键要素系统部署，打造辐射全球的科学智能创新中枢。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二是发布五类典型案例，首批16个案例涵盖自主实验室体系、高价值场景、科学模型、科学数据、创新生态五大类。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三是建设自主实验室，清华大学化学研究自主实验室变革传统“经验试错”模式，建立数据与算法驱动的新范式，实现从分子设计到智能表征全流程无人运行。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四是夯实模型与数据底座，中科院自动化所、中科闻歌共建磐石科学基础大模型，内嵌物理规则、适配国产算力；中科院计算机网络信息中心建设科学数据银行，作为国家级通用科学数据存储库，推动科学数据汇交与共享。</w:t>
      </w:r>
    </w:p>
    <w:p>
      <w:pPr>
        <w:spacing w:line="560" w:lineRule="exact" w:after="80"/>
        <w:ind w:firstLine="440"/>
      </w:pPr>
      <w:r>
        <w:rPr>
          <w:rFonts w:ascii="仿宋_GB2312" w:hAnsi="仿宋_GB2312" w:eastAsia="仿宋_GB2312"/>
          <w:b w:val="0"/>
          <w:sz w:val="32"/>
        </w:rPr>
        <w:t>五是构建创新生态与空间，深势科技、北京科学智能研究院共建玻尔科研空间站，集成“读文献、做计算、做实验”全流程智能工具；海淀发布“中关村（海淀）科学智能（AI4S）创新集聚区”，统筹160万平方米产业空间、74万平方米中试空间，打造从源头创新到产业化落地的完整链条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（信息来源：北京日报8月24日《北京发布16个人工智能赋能科学研究典型案例》  https://cj.sina.com.cn/article/norm_detail?url=https%3A%2F%2Ffinance.sina.com.cn%2Fjjxw%2F2026-08-24%2Fdoc-inipiueh2258850.shtml）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