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jc w:val="center"/>
      </w:pPr>
      <w:r>
        <w:rPr>
          <w:rFonts w:ascii="黑体" w:hAnsi="黑体" w:eastAsia="黑体"/>
          <w:b/>
          <w:sz w:val="32"/>
        </w:rPr>
        <w:t>媒体信息摘报</w:t>
      </w:r>
    </w:p>
    <w:p>
      <w:pPr>
        <w:spacing w:lineRule="exact" w:line="560" w:before="0" w:after="0"/>
        <w:jc w:val="center"/>
      </w:pPr>
      <w:r>
        <w:rPr>
          <w:rFonts w:ascii="楷体_GB2312" w:hAnsi="楷体_GB2312" w:eastAsia="楷体_GB2312"/>
          <w:b w:val="0"/>
          <w:sz w:val="28"/>
        </w:rPr>
        <w:t>2026年9月17日</w:t>
      </w:r>
    </w:p>
    <w:p>
      <w:pPr>
        <w:spacing w:lineRule="exact" w:line="560" w:before="0" w:after="0"/>
      </w:pPr>
      <w:r>
        <w:rPr>
          <w:rFonts w:ascii="黑体" w:hAnsi="黑体" w:eastAsia="黑体"/>
          <w:b/>
          <w:sz w:val="32"/>
        </w:rPr>
        <w:t>1．江苏出台新措施推动“票根经济”全域贯通</w:t>
      </w:r>
    </w:p>
    <w:p>
      <w:pPr>
        <w:spacing w:lineRule="exact" w:line="560" w:before="0" w:after="0"/>
        <w:ind w:firstLine="640"/>
      </w:pPr>
      <w:r>
        <w:rPr>
          <w:rFonts w:ascii="仿宋_GB2312" w:hAnsi="仿宋_GB2312" w:eastAsia="仿宋_GB2312"/>
          <w:b w:val="0"/>
          <w:sz w:val="32"/>
        </w:rPr>
        <w:t>江苏省文化和旅游厅会同省发展改革委、省商务厅、省市场监管局、省体育局等五部门联合印发《文旅体商联合推动“票根经济”全域全链贯通的若干措施》，围绕“票根在手·江苏惠游”主题，构建“以演聚客、以赛引流、以客促消、以消兴产”融合发展格局。</w:t>
      </w:r>
    </w:p>
    <w:p>
      <w:pPr>
        <w:spacing w:lineRule="exact" w:line="560" w:before="0" w:after="0"/>
        <w:ind w:firstLine="640"/>
      </w:pPr>
      <w:r>
        <w:rPr>
          <w:rFonts w:ascii="仿宋_GB2312" w:hAnsi="仿宋_GB2312" w:eastAsia="仿宋_GB2312"/>
          <w:b w:val="0"/>
          <w:sz w:val="32"/>
        </w:rPr>
        <w:t>一是拉长票根权益使用周期。票根权益有效期覆盖赛事演出当日及前后15天，适配群众跨市出游、周末度假的出行习惯，拉长消费转化链条；后续适时将航空机票、高铁火车票、长三角区域优质演艺赛事票根纳入权益体系。</w:t>
      </w:r>
    </w:p>
    <w:p>
      <w:pPr>
        <w:spacing w:lineRule="exact" w:line="560" w:before="0" w:after="0"/>
        <w:ind w:firstLine="640"/>
      </w:pPr>
      <w:r>
        <w:rPr>
          <w:rFonts w:ascii="仿宋_GB2312" w:hAnsi="仿宋_GB2312" w:eastAsia="仿宋_GB2312"/>
          <w:b w:val="0"/>
          <w:sz w:val="32"/>
        </w:rPr>
        <w:t>二是打破地域隔阂。建立省级统筹、省市联动、部门协同工作机制，统筹整合全省文旅、体育、商贸资源，推动各地业态互补、客源互导互通，优惠权益跨设区市有效，实现“一票通行、全省惠享”。</w:t>
      </w:r>
    </w:p>
    <w:p>
      <w:pPr>
        <w:spacing w:lineRule="exact" w:line="560" w:before="0" w:after="0"/>
        <w:ind w:firstLine="640"/>
      </w:pPr>
      <w:r>
        <w:rPr>
          <w:rFonts w:ascii="仿宋_GB2312" w:hAnsi="仿宋_GB2312" w:eastAsia="仿宋_GB2312"/>
          <w:b w:val="0"/>
          <w:sz w:val="32"/>
        </w:rPr>
        <w:t>三是建设全省统一商户资源库。按照政府引导、商户自愿、择优入库、动态管理原则，首期入库优质商户不少于5000家，覆盖景区景点、酒店民宿、餐饮购物、交通出行、文娱休闲等领域；围绕文娱票务、景区游览、酒店住宿、特色美食、商圈购物、便捷交通六大核心惠民场景，引导入库商户推出门票折扣、住宿升级、餐饮立减、购物满减、出行补贴等专属权益。</w:t>
      </w:r>
    </w:p>
    <w:p>
      <w:pPr>
        <w:spacing w:lineRule="exact" w:line="560" w:before="0" w:after="0"/>
        <w:ind w:firstLine="640"/>
      </w:pPr>
      <w:r>
        <w:rPr>
          <w:rFonts w:ascii="仿宋_GB2312" w:hAnsi="仿宋_GB2312" w:eastAsia="仿宋_GB2312"/>
          <w:b w:val="0"/>
          <w:sz w:val="32"/>
        </w:rPr>
        <w:t>四是构建宣传触达与监管闭环。线上以“苏心游”平台为省级总入口，联动OTA、本地生活、票务出行平台开设专题专区；线下统一宣传物料、优惠清单和核销规则，优惠实行线上预订、线下核销。建立多部门协同会商机制，实行事前合规核查、事中动态监管、事后复盘优化的全流程闭环管理。</w:t>
      </w:r>
    </w:p>
    <w:p>
      <w:pPr>
        <w:spacing w:lineRule="exact" w:line="560" w:before="0" w:after="0"/>
      </w:pPr>
      <w:r>
        <w:rPr>
          <w:rFonts w:ascii="仿宋_GB2312" w:hAnsi="仿宋_GB2312" w:eastAsia="仿宋_GB2312"/>
          <w:b w:val="0"/>
          <w:sz w:val="32"/>
        </w:rPr>
        <w:t>（信息来源：江苏经济报 2026年9月17日）</w:t>
      </w:r>
    </w:p>
    <w:p>
      <w:pPr>
        <w:spacing w:lineRule="exact" w:line="560" w:before="0" w:after="0"/>
      </w:pPr>
      <w:r>
        <w:rPr>
          <w:rFonts w:ascii="仿宋_GB2312" w:hAnsi="仿宋_GB2312" w:eastAsia="仿宋_GB2312"/>
          <w:b w:val="0"/>
          <w:sz w:val="32"/>
        </w:rPr>
        <w:t>原文标题及链接：江苏出台新措施推动“票根经济”全域贯通</w:t>
      </w:r>
    </w:p>
    <w:p>
      <w:pPr>
        <w:spacing w:lineRule="exact" w:line="560" w:before="0" w:after="0"/>
      </w:pPr>
      <w:hyperlink r:id="rId9">
        <w:r>
          <w:rPr>
            <w:rFonts w:ascii="仿宋_GB2312" w:hAnsi="仿宋_GB2312" w:eastAsia="仿宋_GB2312"/>
            <w:sz w:val="32"/>
            <w:color w:val="0563C1"/>
            <w:u w:val="single"/>
          </w:rPr>
          <w:t xml:space="preserve">https://jsjjb.xhby.net/pad/con/202609/17/content_1590711.html</w:t>
        </w:r>
      </w:hyperlink>
    </w:p>
    <w:p/>
    <w:p>
      <w:pPr>
        <w:spacing w:lineRule="exact" w:line="560" w:before="0" w:after="0"/>
      </w:pPr>
      <w:r>
        <w:rPr>
          <w:rFonts w:ascii="黑体" w:hAnsi="黑体" w:eastAsia="黑体"/>
          <w:b/>
          <w:sz w:val="32"/>
        </w:rPr>
        <w:t>2．南京智能建造走向“常态落地”</w:t>
      </w:r>
    </w:p>
    <w:p>
      <w:pPr>
        <w:spacing w:lineRule="exact" w:line="560" w:before="0" w:after="0"/>
        <w:ind w:firstLine="640"/>
      </w:pPr>
      <w:r>
        <w:rPr>
          <w:rFonts w:ascii="仿宋_GB2312" w:hAnsi="仿宋_GB2312" w:eastAsia="仿宋_GB2312"/>
          <w:b w:val="0"/>
          <w:sz w:val="32"/>
        </w:rPr>
        <w:t>南京市城乡建设委员会9月初印发《关于进一步加强智能建造技术应用的通知》，打通从项目策划、招标发包到实施监管的全链条制度，推动智能建造由试点示范转入常态化落地。</w:t>
      </w:r>
    </w:p>
    <w:p>
      <w:pPr>
        <w:spacing w:lineRule="exact" w:line="560" w:before="0" w:after="0"/>
        <w:ind w:firstLine="640"/>
      </w:pPr>
      <w:r>
        <w:rPr>
          <w:rFonts w:ascii="仿宋_GB2312" w:hAnsi="仿宋_GB2312" w:eastAsia="仿宋_GB2312"/>
          <w:b w:val="0"/>
          <w:sz w:val="32"/>
        </w:rPr>
        <w:t>一是明确三大技术方向同步推进。《通知》围绕技术应用、工作举措、保障措施三大板块构建实施体系，明确工业化技术、信息化管理、智能化装备三大方向互为支撑、一体实施，鼓励项目结合工程类型、规模和投资性质选用适配技术。</w:t>
      </w:r>
    </w:p>
    <w:p>
      <w:pPr>
        <w:spacing w:lineRule="exact" w:line="560" w:before="0" w:after="0"/>
        <w:ind w:firstLine="640"/>
      </w:pPr>
      <w:r>
        <w:rPr>
          <w:rFonts w:ascii="仿宋_GB2312" w:hAnsi="仿宋_GB2312" w:eastAsia="仿宋_GB2312"/>
          <w:b w:val="0"/>
          <w:sz w:val="32"/>
        </w:rPr>
        <w:t>二是划定应用场景与发包要求。全市新开工总建筑面积2万平方米以上的政府投资房建项目、工程造价2000万元以上的政府投资市政项目，须在可研、项目策划、施工图设计、招标文件中明确智能建造应用要求；技术应用达标项目，预制装配率及“三板”应用比例可不作强制要求；公开招标项目可将智能建造专项方案列入技术标专篇作为评分内容。</w:t>
      </w:r>
    </w:p>
    <w:p>
      <w:pPr>
        <w:spacing w:lineRule="exact" w:line="560" w:before="0" w:after="0"/>
        <w:ind w:firstLine="640"/>
      </w:pPr>
      <w:r>
        <w:rPr>
          <w:rFonts w:ascii="仿宋_GB2312" w:hAnsi="仿宋_GB2312" w:eastAsia="仿宋_GB2312"/>
          <w:b w:val="0"/>
          <w:sz w:val="32"/>
        </w:rPr>
        <w:t>三是落实资金与责任保障。政府及国企投资项目须依据省、市相关定额和计价参考足额编列智能建造费用，鼓励在施工合同中增设应用奖励条款；厘清建设、设计、施工、监理、技术服务五方主体职责，由建设单位牵头编制专项技术方案，形成责任闭环。</w:t>
      </w:r>
    </w:p>
    <w:p>
      <w:pPr>
        <w:spacing w:lineRule="exact" w:line="560" w:before="0" w:after="0"/>
        <w:ind w:firstLine="640"/>
      </w:pPr>
      <w:r>
        <w:rPr>
          <w:rFonts w:ascii="仿宋_GB2312" w:hAnsi="仿宋_GB2312" w:eastAsia="仿宋_GB2312"/>
          <w:b w:val="0"/>
          <w:sz w:val="32"/>
        </w:rPr>
        <w:t>四是推进用工转型与监管激励。针对危、繁、脏、重工序推行人机协同作业，推动传统劳务向“建筑机器人+产业工人”模式转型；对照技术目录和评分细则开展监测评估，达标项目可在试点培育、工地差别化管理、评优推优等方面获得激励；对建筑机器人、无人塔吊等新装备设置先行先试条款，细化培训、持证上岗和维保要求。</w:t>
      </w:r>
    </w:p>
    <w:p>
      <w:pPr>
        <w:spacing w:lineRule="exact" w:line="560" w:before="0" w:after="0"/>
      </w:pPr>
      <w:r>
        <w:rPr>
          <w:rFonts w:ascii="仿宋_GB2312" w:hAnsi="仿宋_GB2312" w:eastAsia="仿宋_GB2312"/>
          <w:b w:val="0"/>
          <w:sz w:val="32"/>
        </w:rPr>
        <w:t>（信息来源：新华日报 2026年9月17日）</w:t>
      </w:r>
    </w:p>
    <w:p>
      <w:pPr>
        <w:spacing w:lineRule="exact" w:line="560" w:before="0" w:after="0"/>
      </w:pPr>
      <w:r>
        <w:rPr>
          <w:rFonts w:ascii="仿宋_GB2312" w:hAnsi="仿宋_GB2312" w:eastAsia="仿宋_GB2312"/>
          <w:b w:val="0"/>
          <w:sz w:val="32"/>
        </w:rPr>
        <w:t>原文标题及链接：南京智能建造走向“常态落地”</w:t>
      </w:r>
    </w:p>
    <w:p>
      <w:pPr>
        <w:spacing w:lineRule="exact" w:line="560" w:before="0" w:after="0"/>
      </w:pPr>
      <w:hyperlink r:id="rId10">
        <w:r>
          <w:rPr>
            <w:rFonts w:ascii="仿宋_GB2312" w:hAnsi="仿宋_GB2312" w:eastAsia="仿宋_GB2312"/>
            <w:sz w:val="32"/>
            <w:color w:val="0563C1"/>
            <w:u w:val="single"/>
          </w:rPr>
          <w:t xml:space="preserve">https://xh.xhby.net/pad/con/202609/17/content_1590527.html</w:t>
        </w:r>
      </w:hyperlink>
    </w:p>
    <w:p/>
    <w:p>
      <w:pPr>
        <w:spacing w:lineRule="exact" w:line="560" w:before="0" w:after="0"/>
      </w:pPr>
      <w:r>
        <w:rPr>
          <w:rFonts w:ascii="黑体" w:hAnsi="黑体" w:eastAsia="黑体"/>
          <w:b/>
          <w:sz w:val="32"/>
        </w:rPr>
        <w:t>3．安徽让“单人成军”照进现实</w:t>
      </w:r>
    </w:p>
    <w:p>
      <w:pPr>
        <w:spacing w:lineRule="exact" w:line="560" w:before="0" w:after="0"/>
        <w:ind w:firstLine="640"/>
      </w:pPr>
      <w:r>
        <w:rPr>
          <w:rFonts w:ascii="仿宋_GB2312" w:hAnsi="仿宋_GB2312" w:eastAsia="仿宋_GB2312"/>
          <w:b w:val="0"/>
          <w:sz w:val="32"/>
        </w:rPr>
        <w:t>安徽省科技厅近日先后印发《安徽省科技创新券管理办法（试行）》《安徽省推进人工智能OPC创新创业发展行动方案（2026—2028年）》，分别着眼财政科技投入方式改革和人工智能时代创业形态布局。</w:t>
      </w:r>
    </w:p>
    <w:p>
      <w:pPr>
        <w:spacing w:lineRule="exact" w:line="560" w:before="0" w:after="0"/>
        <w:ind w:firstLine="640"/>
      </w:pPr>
      <w:r>
        <w:rPr>
          <w:rFonts w:ascii="仿宋_GB2312" w:hAnsi="仿宋_GB2312" w:eastAsia="仿宋_GB2312"/>
          <w:b w:val="0"/>
          <w:sz w:val="32"/>
        </w:rPr>
        <w:t>一是创新券聚焦“给服务”不“撒胡椒面”。办法明确以“企业购买服务、政府事后兑付”方式运行，将财政资金使用权交还企业，让中小企业自主选择所需技术服务，推动投入方式从“给钱”转向“给服务”、从“撒胡椒面”转向“精准撬动”；高校院所科研能力也有了向中小企业流动的市场通道，降低中小微企业获取外部科技服务的门槛。</w:t>
      </w:r>
    </w:p>
    <w:p>
      <w:pPr>
        <w:spacing w:lineRule="exact" w:line="560" w:before="0" w:after="0"/>
        <w:ind w:firstLine="640"/>
      </w:pPr>
      <w:r>
        <w:rPr>
          <w:rFonts w:ascii="仿宋_GB2312" w:hAnsi="仿宋_GB2312" w:eastAsia="仿宋_GB2312"/>
          <w:b w:val="0"/>
          <w:sz w:val="32"/>
        </w:rPr>
        <w:t>二是明确OPC发展目标。行动方案提出大力发展“人工智能一人公司”（简称OPC），即以大模型、智能体为核心技术驱动、依托产业场景开展专业化服务的轻量型创业实体；到2028年，建成省级OPC社区不少于30个，集聚OPC团队不少于3000个，带动就业创业超1万人，新增智能算力不少于1.7万P，培育行业高质量数据集不少于50个，开发“小巧灵”人工智能解决方案不少于100个，打造具有全国影响力的OPC典型案例不少于3个。</w:t>
      </w:r>
    </w:p>
    <w:p>
      <w:pPr>
        <w:spacing w:lineRule="exact" w:line="560" w:before="0" w:after="0"/>
        <w:ind w:firstLine="640"/>
      </w:pPr>
      <w:r>
        <w:rPr>
          <w:rFonts w:ascii="仿宋_GB2312" w:hAnsi="仿宋_GB2312" w:eastAsia="仿宋_GB2312"/>
          <w:b w:val="0"/>
          <w:sz w:val="32"/>
        </w:rPr>
        <w:t>三是构建全周期发展生态。方案构建“空间有载体、技术有底座、创业有支撑、市场有机会、风险有保障”的全周期发展生态；个体创业者可通过创新券购买高校算法测试或科研院所数据处理服务，在OPC社区获得算力支持和创业辅导，进而开发面向特定产业的“小巧灵”解决方案。</w:t>
      </w:r>
    </w:p>
    <w:p>
      <w:pPr>
        <w:spacing w:lineRule="exact" w:line="560" w:before="0" w:after="0"/>
      </w:pPr>
      <w:r>
        <w:rPr>
          <w:rFonts w:ascii="仿宋_GB2312" w:hAnsi="仿宋_GB2312" w:eastAsia="仿宋_GB2312"/>
          <w:b w:val="0"/>
          <w:sz w:val="32"/>
        </w:rPr>
        <w:t>（信息来源：市场星报 2026年9月17日）</w:t>
      </w:r>
    </w:p>
    <w:p>
      <w:pPr>
        <w:spacing w:lineRule="exact" w:line="560" w:before="0" w:after="0"/>
      </w:pPr>
      <w:r>
        <w:rPr>
          <w:rFonts w:ascii="仿宋_GB2312" w:hAnsi="仿宋_GB2312" w:eastAsia="仿宋_GB2312"/>
          <w:b w:val="0"/>
          <w:sz w:val="32"/>
        </w:rPr>
        <w:t>原文标题及链接：安徽让“单人成军”照进现实</w:t>
      </w:r>
    </w:p>
    <w:p>
      <w:pPr>
        <w:spacing w:lineRule="exact" w:line="560" w:before="0" w:after="0"/>
      </w:pPr>
      <w:hyperlink r:id="rId11">
        <w:r>
          <w:rPr>
            <w:rFonts w:ascii="仿宋_GB2312" w:hAnsi="仿宋_GB2312" w:eastAsia="仿宋_GB2312"/>
            <w:sz w:val="32"/>
            <w:color w:val="0563C1"/>
            <w:u w:val="single"/>
          </w:rPr>
          <w:t xml:space="preserve">https://finance.sina.com.cn/jjxw/2026-09-17/doc-inirzwqx0500711.shtml</w:t>
        </w:r>
      </w:hyperlink>
    </w:p>
    <w:p/>
    <w:p>
      <w:pPr>
        <w:spacing w:lineRule="exact" w:line="560" w:before="0" w:after="0"/>
      </w:pPr>
      <w:r>
        <w:rPr>
          <w:rFonts w:ascii="黑体" w:hAnsi="黑体" w:eastAsia="黑体"/>
          <w:b/>
          <w:sz w:val="32"/>
        </w:rPr>
        <w:t>4．事关城市供水安全工作，浙江11部门联合印发指导意见</w:t>
      </w:r>
    </w:p>
    <w:p>
      <w:pPr>
        <w:spacing w:lineRule="exact" w:line="560" w:before="0" w:after="0"/>
        <w:ind w:firstLine="640"/>
      </w:pPr>
      <w:r>
        <w:rPr>
          <w:rFonts w:ascii="仿宋_GB2312" w:hAnsi="仿宋_GB2312" w:eastAsia="仿宋_GB2312"/>
          <w:b w:val="0"/>
          <w:sz w:val="32"/>
        </w:rPr>
        <w:t>浙江省建设厅等11部门近日联合印发《关于进一步加强城市供水安全工作的指导意见》，提出到2028年实现水源风险评估、设施隐患排查、取水智慧监测全覆盖，到2030年全面构建城市供水安全保障体系。</w:t>
      </w:r>
    </w:p>
    <w:p>
      <w:pPr>
        <w:spacing w:lineRule="exact" w:line="560" w:before="0" w:after="0"/>
        <w:ind w:firstLine="640"/>
      </w:pPr>
      <w:r>
        <w:rPr>
          <w:rFonts w:ascii="仿宋_GB2312" w:hAnsi="仿宋_GB2312" w:eastAsia="仿宋_GB2312"/>
          <w:b w:val="0"/>
          <w:sz w:val="32"/>
        </w:rPr>
        <w:t>一是构建多源互补水源格局。单一水源城市按照“一源一备、多源互补”原则明确应急备用水源建设目标任务，衔接国土空间、水利等相关规划，加快推进跨流域跨区域引调水工程；已有备用水源城市建立常态化管护机制，确保应急状态下可迅速启动供水。</w:t>
      </w:r>
    </w:p>
    <w:p>
      <w:pPr>
        <w:spacing w:lineRule="exact" w:line="560" w:before="0" w:after="0"/>
        <w:ind w:firstLine="640"/>
      </w:pPr>
      <w:r>
        <w:rPr>
          <w:rFonts w:ascii="仿宋_GB2312" w:hAnsi="仿宋_GB2312" w:eastAsia="仿宋_GB2312"/>
          <w:b w:val="0"/>
          <w:sz w:val="32"/>
        </w:rPr>
        <w:t>二是加强水源地风险管控与藻情防控。2026年12月底前完成饮用水水源地环境状况和污染风险调查评估；以县级行政区域或水源地为单元修订完善集中式地表水饮用水水源地突发环境事件应急预案，实现水源地全覆盖；蓝藻水华发生期间及时采取生态调水等应急处置措施。</w:t>
      </w:r>
    </w:p>
    <w:p>
      <w:pPr>
        <w:spacing w:lineRule="exact" w:line="560" w:before="0" w:after="0"/>
        <w:ind w:firstLine="640"/>
      </w:pPr>
      <w:r>
        <w:rPr>
          <w:rFonts w:ascii="仿宋_GB2312" w:hAnsi="仿宋_GB2312" w:eastAsia="仿宋_GB2312"/>
          <w:b w:val="0"/>
          <w:sz w:val="32"/>
        </w:rPr>
        <w:t>三是加快设施隐患排查与管网改造。2026年12月底前启动运行年限15年以上城市供水厂安全评估，2027年12月底前全面完成既有城市供水厂安全评估；2027年12月底前完成重点片区老旧供水管网提升改造，2028年12月底前实现老旧问题供水管网改造全覆盖。</w:t>
      </w:r>
    </w:p>
    <w:p>
      <w:pPr>
        <w:spacing w:lineRule="exact" w:line="560" w:before="0" w:after="0"/>
        <w:ind w:firstLine="640"/>
      </w:pPr>
      <w:r>
        <w:rPr>
          <w:rFonts w:ascii="仿宋_GB2312" w:hAnsi="仿宋_GB2312" w:eastAsia="仿宋_GB2312"/>
          <w:b w:val="0"/>
          <w:sz w:val="32"/>
        </w:rPr>
        <w:t>四是提升水质检测与智慧预警能力。单一水源、河网供水区域按需加强嗅味、浊度等指标检测频率，水厂并网供水前须完成全面水质检测；2026年12月底前基本实现取水口常规水质指标监测全覆盖，推动供水厂应用水质安全生物辅助示警装置，构建供水安全预警处置平台，2026年9月底前全省贯通应用。</w:t>
      </w:r>
    </w:p>
    <w:p>
      <w:pPr>
        <w:spacing w:lineRule="exact" w:line="560" w:before="0" w:after="0"/>
      </w:pPr>
      <w:r>
        <w:rPr>
          <w:rFonts w:ascii="仿宋_GB2312" w:hAnsi="仿宋_GB2312" w:eastAsia="仿宋_GB2312"/>
          <w:b w:val="0"/>
          <w:sz w:val="32"/>
        </w:rPr>
        <w:t>（信息来源：浙江发布 2026年9月17日）</w:t>
      </w:r>
    </w:p>
    <w:p>
      <w:pPr>
        <w:spacing w:lineRule="exact" w:line="560" w:before="0" w:after="0"/>
      </w:pPr>
      <w:r>
        <w:rPr>
          <w:rFonts w:ascii="仿宋_GB2312" w:hAnsi="仿宋_GB2312" w:eastAsia="仿宋_GB2312"/>
          <w:b w:val="0"/>
          <w:sz w:val="32"/>
        </w:rPr>
        <w:t>原文标题及链接：事关城市供水安全工作，浙江11部门联合印发指导意见</w:t>
      </w:r>
    </w:p>
    <w:p>
      <w:pPr>
        <w:spacing w:lineRule="exact" w:line="560" w:before="0" w:after="0"/>
      </w:pPr>
      <w:hyperlink r:id="rId12">
        <w:r>
          <w:rPr>
            <w:rFonts w:ascii="仿宋_GB2312" w:hAnsi="仿宋_GB2312" w:eastAsia="仿宋_GB2312"/>
            <w:sz w:val="32"/>
            <w:color w:val="0563C1"/>
            <w:u w:val="single"/>
          </w:rPr>
          <w:t xml:space="preserve">https://www.163.com/dy/article/L704JQME0514FDFN.html</w:t>
        </w:r>
      </w:hyperlink>
    </w:p>
    <w:p/>
    <w:p>
      <w:pPr>
        <w:spacing w:lineRule="exact" w:line="560" w:before="0" w:after="0"/>
      </w:pPr>
      <w:r>
        <w:rPr>
          <w:rFonts w:ascii="黑体" w:hAnsi="黑体" w:eastAsia="黑体"/>
          <w:b/>
          <w:sz w:val="32"/>
        </w:rPr>
        <w:t>5．山东发布人力资源和社会保障事业“十五五”规划</w:t>
      </w:r>
    </w:p>
    <w:p>
      <w:pPr>
        <w:spacing w:lineRule="exact" w:line="560" w:before="0" w:after="0"/>
        <w:ind w:firstLine="640"/>
      </w:pPr>
      <w:r>
        <w:rPr>
          <w:rFonts w:ascii="仿宋_GB2312" w:hAnsi="仿宋_GB2312" w:eastAsia="仿宋_GB2312"/>
          <w:b w:val="0"/>
          <w:sz w:val="32"/>
        </w:rPr>
        <w:t>山东省印发实施《山东省“十五五”人力资源和社会保障事业发展规划》，明确“十五五”期间全省开展补贴性职业技能培训200万人次，高技能人才总量达到560万人，城镇调查失业率控制在5.5%左右。</w:t>
      </w:r>
    </w:p>
    <w:p>
      <w:pPr>
        <w:spacing w:lineRule="exact" w:line="560" w:before="0" w:after="0"/>
        <w:ind w:firstLine="640"/>
      </w:pPr>
      <w:r>
        <w:rPr>
          <w:rFonts w:ascii="仿宋_GB2312" w:hAnsi="仿宋_GB2312" w:eastAsia="仿宋_GB2312"/>
          <w:b w:val="0"/>
          <w:sz w:val="32"/>
        </w:rPr>
        <w:t>一是深入实施就业优先战略。全面建设高质量充分就业省份，在构建就业友好型发展方式、加大重点群体就业支持、推进城乡就业高质量统筹发展、推进自主创业和灵活就业健康发展、完善就业支持和服务体系等方面明确具体措施，“十五五”期间城镇新增就业保持相当规模。</w:t>
      </w:r>
    </w:p>
    <w:p>
      <w:pPr>
        <w:spacing w:lineRule="exact" w:line="560" w:before="0" w:after="0"/>
        <w:ind w:firstLine="640"/>
      </w:pPr>
      <w:r>
        <w:rPr>
          <w:rFonts w:ascii="仿宋_GB2312" w:hAnsi="仿宋_GB2312" w:eastAsia="仿宋_GB2312"/>
          <w:b w:val="0"/>
          <w:sz w:val="32"/>
        </w:rPr>
        <w:t>二是深入实施“技能兴鲁”行动。加快塑造现代化人力资源，塑强高技能领军人才队伍，完善终身职业技能培训体系，推动技工教育高质量特色发展，构建评价激励使用协同联动的技能人才发展体系，加快培育知识型、技能型、创新型劳动者大军。</w:t>
      </w:r>
    </w:p>
    <w:p>
      <w:pPr>
        <w:spacing w:lineRule="exact" w:line="560" w:before="0" w:after="0"/>
        <w:ind w:firstLine="640"/>
      </w:pPr>
      <w:r>
        <w:rPr>
          <w:rFonts w:ascii="仿宋_GB2312" w:hAnsi="仿宋_GB2312" w:eastAsia="仿宋_GB2312"/>
          <w:b w:val="0"/>
          <w:sz w:val="32"/>
        </w:rPr>
        <w:t>三是健全社会保障制度。完善养老保险制度，进一步扩大企业年金、个人养老金制度覆盖范围，有序扩大新就业形态人员职业伤害保障试点，“十五五”期间基本养老保险参保率稳定在96%以上；持续提升公共服务标准化数智化一体化水平，申领电子社保卡人口覆盖率达到90%。</w:t>
      </w:r>
    </w:p>
    <w:p>
      <w:pPr>
        <w:spacing w:lineRule="exact" w:line="560" w:before="0" w:after="0"/>
        <w:ind w:firstLine="640"/>
      </w:pPr>
      <w:r>
        <w:rPr>
          <w:rFonts w:ascii="仿宋_GB2312" w:hAnsi="仿宋_GB2312" w:eastAsia="仿宋_GB2312"/>
          <w:b w:val="0"/>
          <w:sz w:val="32"/>
        </w:rPr>
        <w:t>四是强化人才引育与收入分配改革。培育壮大战略人才力量，加快引育高层次人才，打造北方优秀青年人才集聚区，“十五五”期间新增取得专业技术人员职业资格证书人数60万人，博士后年招收3000人；实施新一轮青年人才集聚齐鲁行动，力争每年吸引集聚100万青年人才来鲁兴学兴业。</w:t>
      </w:r>
    </w:p>
    <w:p>
      <w:pPr>
        <w:spacing w:lineRule="exact" w:line="560" w:before="0" w:after="0"/>
      </w:pPr>
      <w:r>
        <w:rPr>
          <w:rFonts w:ascii="仿宋_GB2312" w:hAnsi="仿宋_GB2312" w:eastAsia="仿宋_GB2312"/>
          <w:b w:val="0"/>
          <w:sz w:val="32"/>
        </w:rPr>
        <w:t>（信息来源：济南日报 2026年9月17日）</w:t>
      </w:r>
    </w:p>
    <w:p>
      <w:pPr>
        <w:spacing w:lineRule="exact" w:line="560" w:before="0" w:after="0"/>
      </w:pPr>
      <w:r>
        <w:rPr>
          <w:rFonts w:ascii="仿宋_GB2312" w:hAnsi="仿宋_GB2312" w:eastAsia="仿宋_GB2312"/>
          <w:b w:val="0"/>
          <w:sz w:val="32"/>
        </w:rPr>
        <w:t>原文标题及链接：山东发布人力资源和社会保障事业“十五五”规划</w:t>
      </w:r>
    </w:p>
    <w:p>
      <w:pPr>
        <w:spacing w:lineRule="exact" w:line="560" w:before="0" w:after="0"/>
      </w:pPr>
      <w:hyperlink r:id="rId13">
        <w:r>
          <w:rPr>
            <w:rFonts w:ascii="仿宋_GB2312" w:hAnsi="仿宋_GB2312" w:eastAsia="仿宋_GB2312"/>
            <w:sz w:val="32"/>
            <w:color w:val="0563C1"/>
            <w:u w:val="single"/>
          </w:rPr>
          <w:t xml:space="preserve">https://news.e23.cn/shandong/2026-09-17/2026091700035.html</w:t>
        </w:r>
      </w:hyperlink>
    </w:p>
    <w:sectPr w:rsidR="00FC693F" w:rsidRPr="0006063C" w:rsidSect="00034616">
      <w:pgSz w:w="12240" w:h="15840"/>
      <w:pgMar w:top="2098" w:right="1474" w:bottom="198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sjjb.xhby.net/pad/con/202609/17/content_1590711.html" TargetMode="External"/><Relationship Id="rId10" Type="http://schemas.openxmlformats.org/officeDocument/2006/relationships/hyperlink" Target="https://xh.xhby.net/pad/con/202609/17/content_1590527.html" TargetMode="External"/><Relationship Id="rId11" Type="http://schemas.openxmlformats.org/officeDocument/2006/relationships/hyperlink" Target="https://finance.sina.com.cn/jjxw/2026-09-17/doc-inirzwqx0500711.shtml" TargetMode="External"/><Relationship Id="rId12" Type="http://schemas.openxmlformats.org/officeDocument/2006/relationships/hyperlink" Target="https://www.163.com/dy/article/L704JQME0514FDFN.html" TargetMode="External"/><Relationship Id="rId13" Type="http://schemas.openxmlformats.org/officeDocument/2006/relationships/hyperlink" Target="https://news.e23.cn/shandong/2026-09-17/202609170003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