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after="240"/>
        <w:jc w:val="center"/>
      </w:pPr>
      <w:r>
        <w:rPr>
          <w:rFonts w:ascii="黑体" w:hAnsi="黑体" w:eastAsia="黑体"/>
          <w:b/>
          <w:sz w:val="32"/>
        </w:rPr>
        <w:t>媒体信息摘报</w:t>
      </w:r>
    </w:p>
    <w:p>
      <w:pPr>
        <w:spacing w:line="560" w:lineRule="exact" w:after="240"/>
        <w:jc w:val="center"/>
      </w:pPr>
      <w:r>
        <w:rPr>
          <w:rFonts w:ascii="黑体" w:hAnsi="黑体" w:eastAsia="黑体"/>
          <w:b/>
          <w:sz w:val="32"/>
        </w:rPr>
        <w:t>（2026年8月25日）</w:t>
      </w:r>
    </w:p>
    <w:p>
      <w:pPr>
        <w:spacing w:line="560" w:lineRule="exact" w:before="200" w:after="120"/>
      </w:pPr>
      <w:r>
        <w:rPr>
          <w:rFonts w:ascii="黑体" w:hAnsi="黑体" w:eastAsia="黑体"/>
          <w:b/>
          <w:sz w:val="32"/>
        </w:rPr>
        <w:t>一、一场协作改变一座城 博罗与深圳福田共建新型“飞地”</w:t>
      </w:r>
    </w:p>
    <w:p>
      <w:pPr>
        <w:spacing w:line="560" w:lineRule="exact" w:after="80"/>
        <w:ind w:firstLine="640"/>
      </w:pPr>
      <w:r>
        <w:rPr>
          <w:rFonts w:ascii="仿宋_GB2312" w:hAnsi="仿宋_GB2312" w:eastAsia="仿宋_GB2312"/>
          <w:b w:val="0"/>
          <w:sz w:val="32"/>
        </w:rPr>
        <w:t>一是探索“五同”产业协作模式。2023年11月两地签订共建现代产业园框架协议，首期规划5100亩，构建“福田总部+博罗生产基地”飞地经济发展模式，建立同规划、同政策、同招商、同收益、同服务“五同”机制，打破行政壁垒。</w:t>
      </w:r>
    </w:p>
    <w:p>
      <w:pPr>
        <w:spacing w:line="560" w:lineRule="exact" w:after="80"/>
        <w:ind w:firstLine="640"/>
      </w:pPr>
      <w:r>
        <w:rPr>
          <w:rFonts w:ascii="仿宋_GB2312" w:hAnsi="仿宋_GB2312" w:eastAsia="仿宋_GB2312"/>
          <w:b w:val="0"/>
          <w:sz w:val="32"/>
        </w:rPr>
        <w:t>二是享受双重政策叠加优势。企业可申请福田区协同研发、固投支持、知识产权融资、科技信贷贴息等专项扶持，同时享受博罗县科技创新平台建设、扩产增效、上规纳统、技术改造等惠企政策，形成“1+1&gt;2”政策“福利包”。</w:t>
      </w:r>
    </w:p>
    <w:p>
      <w:pPr>
        <w:spacing w:line="560" w:lineRule="exact" w:after="80"/>
        <w:ind w:firstLine="640"/>
      </w:pPr>
      <w:r>
        <w:rPr>
          <w:rFonts w:ascii="仿宋_GB2312" w:hAnsi="仿宋_GB2312" w:eastAsia="仿宋_GB2312"/>
          <w:b w:val="0"/>
          <w:sz w:val="32"/>
        </w:rPr>
        <w:t>三是建立税收收益分享机制。两地签订“五同”产业项目收益分成协议，按照“福田母公司+博罗子公司”架构，将项目投产后增值税、企业所得税等税收留成部分按比例分享，落实省级县域产业园区利益共享机制。</w:t>
      </w:r>
    </w:p>
    <w:p>
      <w:pPr>
        <w:spacing w:line="560" w:lineRule="exact" w:after="80"/>
        <w:ind w:firstLine="640"/>
      </w:pPr>
      <w:r>
        <w:rPr>
          <w:rFonts w:ascii="仿宋_GB2312" w:hAnsi="仿宋_GB2312" w:eastAsia="仿宋_GB2312"/>
          <w:b w:val="0"/>
          <w:sz w:val="32"/>
        </w:rPr>
        <w:t>四是“双城配置”联动招商。2025年9月以来累计开展21批次联合招商，已落户25宗项目、总投资约54亿元，投产后产值预计超100亿元；另有11宗在谈及过会项目计划总投资约78亿元，预计总产值约100亿元。</w:t>
      </w:r>
    </w:p>
    <w:p>
      <w:pPr>
        <w:spacing w:line="560" w:lineRule="exact" w:after="80"/>
        <w:ind w:firstLine="640"/>
      </w:pPr>
      <w:r>
        <w:rPr>
          <w:rFonts w:ascii="仿宋_GB2312" w:hAnsi="仿宋_GB2312" w:eastAsia="仿宋_GB2312"/>
          <w:b w:val="0"/>
          <w:sz w:val="32"/>
        </w:rPr>
        <w:t>五是产城人融合共建罗浮未来城。以第四代住宅合作为契机，博罗产投与金地等签订备忘录，围绕产业园、城市开发、金融赋能全面合作；园区配套社区健康中心、员工食堂、酒店式公寓，县域副中心新招引注册服务业企业6家。</w:t>
      </w:r>
    </w:p>
    <w:p>
      <w:pPr>
        <w:spacing w:line="560" w:lineRule="exact" w:before="80" w:after="200"/>
      </w:pPr>
      <w:r>
        <w:rPr>
          <w:rFonts w:ascii="仿宋_GB2312" w:hAnsi="仿宋_GB2312" w:eastAsia="仿宋_GB2312"/>
          <w:b w:val="0"/>
          <w:sz w:val="32"/>
        </w:rPr>
        <w:t>（信息来源：南方日报8月25日《一场协作改变一座城！博罗与深圳福田共建新型“飞地”》  https://static.nfnews.com/content/202608/25/c12752802.html）</w:t>
      </w:r>
    </w:p>
    <w:p>
      <w:pPr>
        <w:spacing w:line="560" w:lineRule="exact" w:before="200" w:after="120"/>
      </w:pPr>
      <w:r>
        <w:rPr>
          <w:rFonts w:ascii="黑体" w:hAnsi="黑体" w:eastAsia="黑体"/>
          <w:b/>
          <w:sz w:val="32"/>
        </w:rPr>
        <w:t>二、200多万户经营主体将受益 湖南全面推行信用修复“即申即享”</w:t>
      </w:r>
    </w:p>
    <w:p>
      <w:pPr>
        <w:spacing w:line="560" w:lineRule="exact" w:after="80"/>
        <w:ind w:firstLine="640"/>
      </w:pPr>
      <w:r>
        <w:rPr>
          <w:rFonts w:ascii="仿宋_GB2312" w:hAnsi="仿宋_GB2312" w:eastAsia="仿宋_GB2312"/>
          <w:b w:val="0"/>
          <w:sz w:val="32"/>
        </w:rPr>
        <w:t>一是明确适用对象与情形。在全省各级市场监管部门或行使经营主体注册登记职能的行政审批部门登记的各类经营主体，因未按照规定期限报送年度报告、未按要求公示有关企业信息、通过登记住所无法联系、未依法办理名称变更登记而被列入经营异常名录的，符合规定情形即可享受“即申即享”服务。</w:t>
      </w:r>
    </w:p>
    <w:p>
      <w:pPr>
        <w:spacing w:line="560" w:lineRule="exact" w:after="80"/>
        <w:ind w:firstLine="640"/>
      </w:pPr>
      <w:r>
        <w:rPr>
          <w:rFonts w:ascii="仿宋_GB2312" w:hAnsi="仿宋_GB2312" w:eastAsia="仿宋_GB2312"/>
          <w:b w:val="0"/>
          <w:sz w:val="32"/>
        </w:rPr>
        <w:t>二是办理时限大幅压缩。经营异常名录信用修复办理时限从原4个工作日缩短至“即申即享”，以更大力度优化营商环境，以更高效率提升信用修复服务水平，助力各类经营主体轻装上阵、健康发展。</w:t>
      </w:r>
    </w:p>
    <w:p>
      <w:pPr>
        <w:spacing w:line="560" w:lineRule="exact" w:after="80"/>
        <w:ind w:firstLine="640"/>
      </w:pPr>
      <w:r>
        <w:rPr>
          <w:rFonts w:ascii="仿宋_GB2312" w:hAnsi="仿宋_GB2312" w:eastAsia="仿宋_GB2312"/>
          <w:b w:val="0"/>
          <w:sz w:val="32"/>
        </w:rPr>
        <w:t>三是惠及主体广泛。预计将惠及全省200多万户已被列入经营异常名录的经营主体，覆盖大中小微企业及个体工商户等各类市场主体，对稳住经营主体存量、激发市场活力意义重大。</w:t>
      </w:r>
    </w:p>
    <w:p>
      <w:pPr>
        <w:spacing w:line="560" w:lineRule="exact" w:after="80"/>
        <w:ind w:firstLine="640"/>
      </w:pPr>
      <w:r>
        <w:rPr>
          <w:rFonts w:ascii="仿宋_GB2312" w:hAnsi="仿宋_GB2312" w:eastAsia="仿宋_GB2312"/>
          <w:b w:val="0"/>
          <w:sz w:val="32"/>
        </w:rPr>
        <w:t>四是推动服务理念转变。省市场监督管理局印发专门通知，推动信用修复由“企业跑腿、逐级审核”向“数据跑路、即时办理”转变，强化主动服务、靠前服务，切实降低制度性交易成本。</w:t>
      </w:r>
    </w:p>
    <w:p>
      <w:pPr>
        <w:spacing w:line="560" w:lineRule="exact" w:after="80"/>
        <w:ind w:firstLine="640"/>
      </w:pPr>
      <w:r>
        <w:rPr>
          <w:rFonts w:ascii="仿宋_GB2312" w:hAnsi="仿宋_GB2312" w:eastAsia="仿宋_GB2312"/>
          <w:b w:val="0"/>
          <w:sz w:val="32"/>
        </w:rPr>
        <w:t>五是锚定营商环境目标。以信用修复“即申即享”为切口，持续完善以信用为基础的新型监管机制，引导经营主体自觉守法诚信经营，实现“应修尽修”与“降本增效”相统一。</w:t>
      </w:r>
    </w:p>
    <w:p>
      <w:pPr>
        <w:spacing w:line="560" w:lineRule="exact" w:before="80" w:after="200"/>
      </w:pPr>
      <w:r>
        <w:rPr>
          <w:rFonts w:ascii="仿宋_GB2312" w:hAnsi="仿宋_GB2312" w:eastAsia="仿宋_GB2312"/>
          <w:b w:val="0"/>
          <w:sz w:val="32"/>
        </w:rPr>
        <w:t>（信息来源：湖南日报8月25日《200多万户经营主体将受益》  https://epaper.voc.com.cn/hnrb/html/2026-08/25/content_1798387.htm）</w:t>
      </w:r>
    </w:p>
    <w:p>
      <w:pPr>
        <w:spacing w:line="560" w:lineRule="exact" w:before="200" w:after="120"/>
      </w:pPr>
      <w:r>
        <w:rPr>
          <w:rFonts w:ascii="黑体" w:hAnsi="黑体" w:eastAsia="黑体"/>
          <w:b/>
          <w:sz w:val="32"/>
        </w:rPr>
        <w:t>三、上海“十五五”产业规划出炉 构建“2+3+6+6”现代化产业体系</w:t>
      </w:r>
    </w:p>
    <w:p>
      <w:pPr>
        <w:spacing w:line="560" w:lineRule="exact" w:after="80"/>
        <w:ind w:firstLine="640"/>
      </w:pPr>
      <w:r>
        <w:rPr>
          <w:rFonts w:ascii="仿宋_GB2312" w:hAnsi="仿宋_GB2312" w:eastAsia="仿宋_GB2312"/>
          <w:b w:val="0"/>
          <w:sz w:val="32"/>
        </w:rPr>
        <w:t>一是设定量级目标。到2030年工业增加值占GDP比重由2025年19.7%提升至20%以上，工业战略性新兴产业产值占规上工业产值比重由45%提升至50%以上，工业全员劳动生产率由53万元/人升至70万元/人，制造业重点行业工业机器人密度由500台/万人增至600台/万人。</w:t>
      </w:r>
    </w:p>
    <w:p>
      <w:pPr>
        <w:spacing w:line="560" w:lineRule="exact" w:after="80"/>
        <w:ind w:firstLine="640"/>
      </w:pPr>
      <w:r>
        <w:rPr>
          <w:rFonts w:ascii="仿宋_GB2312" w:hAnsi="仿宋_GB2312" w:eastAsia="仿宋_GB2312"/>
          <w:b w:val="0"/>
          <w:sz w:val="32"/>
        </w:rPr>
        <w:t>二是做强三大先导产业。集成电路聚焦张江、临港、嘉定建设“一体两翼”世界级集群，攻关高性能算力芯片；生物医药布局浦东、闵行、嘉定，加快脑机接口等高端医疗器械上市；人工智能聚焦浦东、徐汇，攻关智算芯片、下一代大模型。</w:t>
      </w:r>
    </w:p>
    <w:p>
      <w:pPr>
        <w:spacing w:line="560" w:lineRule="exact" w:after="80"/>
        <w:ind w:firstLine="640"/>
      </w:pPr>
      <w:r>
        <w:rPr>
          <w:rFonts w:ascii="仿宋_GB2312" w:hAnsi="仿宋_GB2312" w:eastAsia="仿宋_GB2312"/>
          <w:b w:val="0"/>
          <w:sz w:val="32"/>
        </w:rPr>
        <w:t>三是打造六大新兴支柱。涵盖新一代电子信息、智能网联新能源汽车、高端装备、先进材料、新能源及绿色低碳、时尚消费品，推动C909系列化、C919量产、C929研制及“千帆星座”组网，未来产业培育量子科技、脑机接口、可控核聚变、生物制造、6G等方向。</w:t>
      </w:r>
    </w:p>
    <w:p>
      <w:pPr>
        <w:spacing w:line="560" w:lineRule="exact" w:after="80"/>
        <w:ind w:firstLine="640"/>
      </w:pPr>
      <w:r>
        <w:rPr>
          <w:rFonts w:ascii="仿宋_GB2312" w:hAnsi="仿宋_GB2312" w:eastAsia="仿宋_GB2312"/>
          <w:b w:val="0"/>
          <w:sz w:val="32"/>
        </w:rPr>
        <w:t>四是构建“1025”体系。市级聚焦10条重点产业链，新增打造集成电路、生物医药、人工智能三个万亿级产业集群；区级围绕25个主导产业建成50个区级千亿主导产业集群，深化区区结对、促进资源互补。</w:t>
      </w:r>
    </w:p>
    <w:p>
      <w:pPr>
        <w:spacing w:line="560" w:lineRule="exact" w:after="80"/>
        <w:ind w:firstLine="640"/>
      </w:pPr>
      <w:r>
        <w:rPr>
          <w:rFonts w:ascii="仿宋_GB2312" w:hAnsi="仿宋_GB2312" w:eastAsia="仿宋_GB2312"/>
          <w:b w:val="0"/>
          <w:sz w:val="32"/>
        </w:rPr>
        <w:t>五是智能制造升级。累计建设500个先进级智能工厂，规上工业企业数字化生产设备普及率和智能体应用普及率均超80%；具身智能通用公版平台量产超50款、总量破50万台；分领域建成50家市级中试平台，力争实现300项以上关键核心技术突破。</w:t>
      </w:r>
    </w:p>
    <w:p>
      <w:pPr>
        <w:spacing w:line="560" w:lineRule="exact" w:before="80" w:after="200"/>
      </w:pPr>
      <w:r>
        <w:rPr>
          <w:rFonts w:ascii="仿宋_GB2312" w:hAnsi="仿宋_GB2312" w:eastAsia="仿宋_GB2312"/>
          <w:b w:val="0"/>
          <w:sz w:val="32"/>
        </w:rPr>
        <w:t>（信息来源：解放日报8月25日《上海“十五五”产业规划出炉 新增三大万亿级产业集群》  https://cj.sina.com.cn/article/norm_detail?url=https%3A%2F%2Ffinance.sina.com.cn%2Fjjxw%2F2026-08-25%2Fdoc-inipmxce9964118.shtml）</w:t>
      </w:r>
    </w:p>
    <w:p>
      <w:pPr>
        <w:spacing w:line="560" w:lineRule="exact" w:before="200" w:after="120"/>
      </w:pPr>
      <w:r>
        <w:rPr>
          <w:rFonts w:ascii="黑体" w:hAnsi="黑体" w:eastAsia="黑体"/>
          <w:b/>
          <w:sz w:val="32"/>
        </w:rPr>
        <w:t>四、全国首个AI4Chip专项政策发布 北京亦庄绘就集成电路“AI原生”新范式</w:t>
      </w:r>
    </w:p>
    <w:p>
      <w:pPr>
        <w:spacing w:line="560" w:lineRule="exact" w:after="80"/>
        <w:ind w:firstLine="640"/>
      </w:pPr>
      <w:r>
        <w:rPr>
          <w:rFonts w:ascii="仿宋_GB2312" w:hAnsi="仿宋_GB2312" w:eastAsia="仿宋_GB2312"/>
          <w:b w:val="0"/>
          <w:sz w:val="32"/>
        </w:rPr>
        <w:t>一是聚焦五大行动精准发力。“AI4Chip 20条”围绕AI原生全链赋能、“AI+智能设计”焕芯、“AI+制造封测”筑芯、“AI+设备材料”强芯、“AI+产业生态”育芯五大行动系统部署，推动集成电路产业全链条AI融合。</w:t>
      </w:r>
    </w:p>
    <w:p>
      <w:pPr>
        <w:spacing w:line="560" w:lineRule="exact" w:after="80"/>
        <w:ind w:firstLine="640"/>
      </w:pPr>
      <w:r>
        <w:rPr>
          <w:rFonts w:ascii="仿宋_GB2312" w:hAnsi="仿宋_GB2312" w:eastAsia="仿宋_GB2312"/>
          <w:b w:val="0"/>
          <w:sz w:val="32"/>
        </w:rPr>
        <w:t>二是构建“软硬互驱、芯智共生”新范式。政策由北京经济技术开发区（北京亦庄）正式发布，系全国首个AI4Chip专项政策，推动集成电路产业从“AI赋能”升级迈向“AI原生”创新，重构研发、制造、封测全周期。</w:t>
      </w:r>
    </w:p>
    <w:p>
      <w:pPr>
        <w:spacing w:line="560" w:lineRule="exact" w:after="80"/>
        <w:ind w:firstLine="640"/>
      </w:pPr>
      <w:r>
        <w:rPr>
          <w:rFonts w:ascii="仿宋_GB2312" w:hAnsi="仿宋_GB2312" w:eastAsia="仿宋_GB2312"/>
          <w:b w:val="0"/>
          <w:sz w:val="32"/>
        </w:rPr>
        <w:t>三是培育领军企业。力争到2028年基本建成集成电路产业AI融合发展体系，培育3—5家具有国际影响力的AI4Chip生态型领军企业，形成龙头企业引领、大中小企业协同的产业梯队。</w:t>
      </w:r>
    </w:p>
    <w:p>
      <w:pPr>
        <w:spacing w:line="560" w:lineRule="exact" w:after="80"/>
        <w:ind w:firstLine="640"/>
      </w:pPr>
      <w:r>
        <w:rPr>
          <w:rFonts w:ascii="仿宋_GB2312" w:hAnsi="仿宋_GB2312" w:eastAsia="仿宋_GB2312"/>
          <w:b w:val="0"/>
          <w:sz w:val="32"/>
        </w:rPr>
        <w:t>四是打造标杆应用。形成10个以上具备行业推广能力的标杆应用，在智能设计、制造封测、设备材料等环节形成可复制的AI落地样板，持续推动产业“AI原生”创新与“AI赋能”升级。</w:t>
      </w:r>
    </w:p>
    <w:p>
      <w:pPr>
        <w:spacing w:line="560" w:lineRule="exact" w:after="80"/>
        <w:ind w:firstLine="640"/>
      </w:pPr>
      <w:r>
        <w:rPr>
          <w:rFonts w:ascii="仿宋_GB2312" w:hAnsi="仿宋_GB2312" w:eastAsia="仿宋_GB2312"/>
          <w:b w:val="0"/>
          <w:sz w:val="32"/>
        </w:rPr>
        <w:t>五是完善产业生态。统筹算力、模型、数据、场景等要素，强化政产学研用协同，构建覆盖设计、制造、封测、设备材料的全产业链AI赋能生态，提升产业国际竞争力。</w:t>
      </w:r>
    </w:p>
    <w:p>
      <w:pPr>
        <w:spacing w:line="560" w:lineRule="exact" w:before="80" w:after="200"/>
      </w:pPr>
      <w:r>
        <w:rPr>
          <w:rFonts w:ascii="仿宋_GB2312" w:hAnsi="仿宋_GB2312" w:eastAsia="仿宋_GB2312"/>
          <w:b w:val="0"/>
          <w:sz w:val="32"/>
        </w:rPr>
        <w:t>（信息来源：北京日报8月25日《全国首个AI4Chip专项政策发布 北京亦庄绘就集成电路“AI原生”新范式》  https://view.inews.qq.com/a/20260824A0AR1U00）</w:t>
      </w:r>
    </w:p>
    <w:p>
      <w:pPr>
        <w:spacing w:line="560" w:lineRule="exact" w:before="200" w:after="120"/>
      </w:pPr>
      <w:r>
        <w:rPr>
          <w:rFonts w:ascii="黑体" w:hAnsi="黑体" w:eastAsia="黑体"/>
          <w:b/>
          <w:sz w:val="32"/>
        </w:rPr>
        <w:t>五、山东促消费打出“五聚力”组合拳 前7月社零增速高于全国1.5个百分点</w:t>
      </w:r>
    </w:p>
    <w:p>
      <w:pPr>
        <w:spacing w:line="560" w:lineRule="exact" w:after="80"/>
        <w:ind w:firstLine="640"/>
      </w:pPr>
      <w:r>
        <w:rPr>
          <w:rFonts w:ascii="仿宋_GB2312" w:hAnsi="仿宋_GB2312" w:eastAsia="仿宋_GB2312"/>
          <w:b w:val="0"/>
          <w:sz w:val="32"/>
        </w:rPr>
        <w:t>一是聚力实施消费品以旧换新。在全国率先落实国家补贴政策基础上，6月18日出台地方自主品类补贴方案，将扫地机器人、智能马桶、吸油烟机、洗碗机、助听器、外骨骼机器人等8类产品纳入补贴，消费者经“爱山东”平台申领可享最终售价15%、单件最高1500元补贴；截至8月15日申请量1430.5万件、带动销售额1157亿元。</w:t>
      </w:r>
    </w:p>
    <w:p>
      <w:pPr>
        <w:spacing w:line="560" w:lineRule="exact" w:after="80"/>
        <w:ind w:firstLine="640"/>
      </w:pPr>
      <w:r>
        <w:rPr>
          <w:rFonts w:ascii="仿宋_GB2312" w:hAnsi="仿宋_GB2312" w:eastAsia="仿宋_GB2312"/>
          <w:b w:val="0"/>
          <w:sz w:val="32"/>
        </w:rPr>
        <w:t>二是聚力政策活动协同联动。出台《关于进一步释放消费潜能的实施方案》《2026服务消费提质惠民行动方案》，举办中华老字号博览会、家政产业对接会、齐鲁服务消费季、齐鲁美食节等重点活动，打造“齐鲁超赛·乐享山东”载体，在16市布局超100处“第二现场”消费场景。</w:t>
      </w:r>
    </w:p>
    <w:p>
      <w:pPr>
        <w:spacing w:line="560" w:lineRule="exact" w:after="80"/>
        <w:ind w:firstLine="640"/>
      </w:pPr>
      <w:r>
        <w:rPr>
          <w:rFonts w:ascii="仿宋_GB2312" w:hAnsi="仿宋_GB2312" w:eastAsia="仿宋_GB2312"/>
          <w:b w:val="0"/>
          <w:sz w:val="32"/>
        </w:rPr>
        <w:t>三是聚力培育“三新”消费。依托省级“三新”消费试点，用好首批5.5亿元专项资金，推动190余个项目建设，持续迭代创新消费场景，壮大首发经济、潮玩经济、体验经济等新业态。</w:t>
      </w:r>
    </w:p>
    <w:p>
      <w:pPr>
        <w:spacing w:line="560" w:lineRule="exact" w:after="80"/>
        <w:ind w:firstLine="640"/>
      </w:pPr>
      <w:r>
        <w:rPr>
          <w:rFonts w:ascii="仿宋_GB2312" w:hAnsi="仿宋_GB2312" w:eastAsia="仿宋_GB2312"/>
          <w:b w:val="0"/>
          <w:sz w:val="32"/>
        </w:rPr>
        <w:t>四是聚力发展数字与入境消费。落地美团、京东等头部平台新项目补齐即时零售短板；全省离境退税商店达289家，打造韩国游客入境消费首选地，1—7月网上零售额5052.5亿元、增长8.9%。</w:t>
      </w:r>
    </w:p>
    <w:p>
      <w:pPr>
        <w:spacing w:line="560" w:lineRule="exact" w:after="80"/>
        <w:ind w:firstLine="640"/>
      </w:pPr>
      <w:r>
        <w:rPr>
          <w:rFonts w:ascii="仿宋_GB2312" w:hAnsi="仿宋_GB2312" w:eastAsia="仿宋_GB2312"/>
          <w:b w:val="0"/>
          <w:sz w:val="32"/>
        </w:rPr>
        <w:t>五是聚力优化消费环境。济南、青岛、烟台开展有奖发票试点，消费拉动比达1:24.2；新增洗碗机、助听器等适老化品类，政策落地半月相关新品销量3.5万件、带动消费超1.3亿元。</w:t>
      </w:r>
    </w:p>
    <w:p>
      <w:pPr>
        <w:spacing w:line="560" w:lineRule="exact" w:before="80" w:after="200"/>
      </w:pPr>
      <w:r>
        <w:rPr>
          <w:rFonts w:ascii="仿宋_GB2312" w:hAnsi="仿宋_GB2312" w:eastAsia="仿宋_GB2312"/>
          <w:b w:val="0"/>
          <w:sz w:val="32"/>
        </w:rPr>
        <w:t>（信息来源：大众日报8月25日《山东促消费打出“五聚力”组合拳》  https://www.toutiao.com/article/7677752437754610218/）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