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0" w:before="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280"/>
        <w:jc w:val="center"/>
      </w:pPr>
      <w:r>
        <w:rPr>
          <w:rFonts w:ascii="仿宋_GB2312" w:hAnsi="仿宋_GB2312" w:eastAsia="仿宋_GB2312"/>
          <w:sz w:val="32"/>
        </w:rPr>
        <w:t>7月9日</w:t>
      </w:r>
    </w:p>
    <w:p>
      <w:pPr>
        <w:spacing w:lineRule="exact" w:line="560" w:before="280" w:after="0"/>
      </w:pPr>
      <w:r>
        <w:rPr>
          <w:rFonts w:ascii="黑体" w:hAnsi="黑体" w:eastAsia="黑体"/>
          <w:b/>
          <w:sz w:val="32"/>
        </w:rPr>
        <w:t>1. 区政府成为"天使投资人" 236个项目落地开福科创谷</w:t>
      </w:r>
    </w:p>
    <w:p>
      <w:pPr>
        <w:spacing w:lineRule="exact" w:line="560" w:before="0" w:after="0"/>
        <w:ind w:firstLine="420"/>
      </w:pPr>
      <w:r>
        <w:rPr>
          <w:rFonts w:ascii="仿宋_GB2312" w:hAnsi="仿宋_GB2312" w:eastAsia="仿宋_GB2312"/>
          <w:sz w:val="32"/>
        </w:rPr>
        <w:t>长沙市开福区以政府资金撬动社会投资，两年落地236个重点科创项目。一是搭建平台：成立军工央企长沙联络站、中国融通公司科技成果转化创新服务工作站、湘江实验室技术转移开福分中心、德雅校友服务中心、国防科大地方学员就业创业实践基地，成立开福砺箭科技公司为TS实验室提供专业化服务保障和成果转化支持。二是拓展空间：定制化打造伍家岭科创综合体、蒋家垅科创基地，新增创业空间10万平方米；作为低空经济核心承载区，兴湘国科科创园已集聚30余家低空领域企业，形成完整产业链条；统筹布局华创国际、富兴时代、凯乐微谷等合作商务楼宇，精准打造先进技术、信创及软件产业基地。三是创新投资：成立科创投公司，区政府成为"天使投资人"，设立30亿元规模产业发展母基金、5亿元科创谷青年创业基金，基金矩阵总规模超120亿元，构筑覆盖种子期、成长期、成熟期的全周期资金支持体系。四是投入保障：两年累计投入资金近16亿元，投资4.7亿元重点打造的科技创新交流中心已主体封顶。</w:t>
      </w:r>
    </w:p>
    <w:p>
      <w:pPr>
        <w:spacing w:lineRule="exact" w:line="560" w:before="0" w:after="280"/>
      </w:pPr>
      <w:r>
        <w:rPr>
          <w:rFonts w:ascii="仿宋_GB2312" w:hAnsi="仿宋_GB2312" w:eastAsia="仿宋_GB2312"/>
          <w:sz w:val="32"/>
        </w:rPr>
        <w:t>（信息来源：湖南日报7月9日《区政府成为"天使投资人" 236个项目落地开福科创谷》  https://m.voc.com.cn/xhn/news/202607/33100695.html）</w:t>
      </w:r>
    </w:p>
    <w:p>
      <w:pPr>
        <w:spacing w:lineRule="exact" w:line="560" w:before="280" w:after="0"/>
      </w:pPr>
      <w:r>
        <w:rPr>
          <w:rFonts w:ascii="黑体" w:hAnsi="黑体" w:eastAsia="黑体"/>
          <w:b/>
          <w:sz w:val="32"/>
        </w:rPr>
        <w:t>2. "十五五"时期成都将实施30个重大项目</w:t>
      </w:r>
    </w:p>
    <w:p>
      <w:pPr>
        <w:spacing w:lineRule="exact" w:line="560" w:before="0" w:after="0"/>
        <w:ind w:firstLine="420"/>
      </w:pPr>
      <w:r>
        <w:rPr>
          <w:rFonts w:ascii="仿宋_GB2312" w:hAnsi="仿宋_GB2312" w:eastAsia="仿宋_GB2312"/>
          <w:sz w:val="32"/>
        </w:rPr>
        <w:t>成都"十五五"期间将谋划推动一批打基础、利长远、增后劲、惠民生的重大项目，支撑"十五五"规划目标任务落地见效，提出到2030年基本建成践行新发展理念的公园城市示范区，地区生产总值达到3.2万亿元。一是区域协同发展：推动城市轨道交通、市域（郊）铁路、宝成铁路公交化改造等项目建设，强化区域互联互通。二是新质生产力培育：推进建设聚变能源产业创新基地、超级智算中心、未来产业孵化加速园等，集聚战略性新兴产业和未来产业。三是城市综合承载能力提升：统筹推进水网、新型电网、算力网、新一代通信网、城市地下管网、物流网"六张网"规划建设，推进三坝水库、城市给水管网改造工程等基础设施建设。四是民生福祉增进：规划建设华西医院国家医学中心、四川省老年医院、成都市中心医院以及高中扩容工程等，持续扩大优质公共服务供给。五是年度项目安排：今年围绕先进制造业、重要基础设施、社会民生3个方面，分别实施重点项目246个、231个、308个，进一步推动产业升级、新质生产力发展和城市综合承载能力提升。</w:t>
      </w:r>
    </w:p>
    <w:p>
      <w:pPr>
        <w:spacing w:lineRule="exact" w:line="560" w:before="0" w:after="280"/>
      </w:pPr>
      <w:r>
        <w:rPr>
          <w:rFonts w:ascii="仿宋_GB2312" w:hAnsi="仿宋_GB2312" w:eastAsia="仿宋_GB2312"/>
          <w:sz w:val="32"/>
        </w:rPr>
        <w:t>（信息来源：四川日报7月9日《"十五五"时期成都将实施30个重大项目》  https://epaper.scdaily.cn/shtml/scrb/20260709/1083860.html）</w:t>
      </w:r>
    </w:p>
    <w:p>
      <w:pPr>
        <w:spacing w:lineRule="exact" w:line="560" w:before="280" w:after="0"/>
      </w:pPr>
      <w:r>
        <w:rPr>
          <w:rFonts w:ascii="黑体" w:hAnsi="黑体" w:eastAsia="黑体"/>
          <w:b/>
          <w:sz w:val="32"/>
        </w:rPr>
        <w:t>3. 硬核科技培育安徽交通"新"图景</w:t>
      </w:r>
    </w:p>
    <w:p>
      <w:pPr>
        <w:spacing w:lineRule="exact" w:line="560" w:before="0" w:after="0"/>
        <w:ind w:firstLine="420"/>
      </w:pPr>
      <w:r>
        <w:rPr>
          <w:rFonts w:ascii="仿宋_GB2312" w:hAnsi="仿宋_GB2312" w:eastAsia="仿宋_GB2312"/>
          <w:sz w:val="32"/>
        </w:rPr>
        <w:t>安徽聚焦人工智能、量子科技、氢能、低空经济等前沿领域，推动未来技术与交通场景深度融合，以科技创新培育交通运输新质生产力。一是AI+交通：芜湖港建成全国首个区块链无纸化进口放货内河智慧港口；合肥轨道融合低空智能巡检与量子精密测量技术，首创全空间智能感知巡检新模式。二是场景开放：实施"人工智能+交通运输"行动，推介发布重大场景机会和重大场景能力25项；省交通控股集团参与成立"交通创新AI联盟"。三是未来产业：安徽省首台氢能重卡在六安上线运营，合肥市区首座加氢站投入使用；累计释放84个空域、70条低空航线，骆岗中央公园建成全国首个城市空中交通枢纽。四是标准体系：累计发布实施24项智慧交通地方标准、7项长三角区域标准，无人机巡检作业技术规程在12座长大桥梁、近100座中小桥梁应用，"安徽省高速公路无人机巡检巡查基础设施标准化试点"获批国家级智慧交通专项标准化试点。</w:t>
      </w:r>
    </w:p>
    <w:p>
      <w:pPr>
        <w:spacing w:lineRule="exact" w:line="560" w:before="0" w:after="280"/>
      </w:pPr>
      <w:r>
        <w:rPr>
          <w:rFonts w:ascii="仿宋_GB2312" w:hAnsi="仿宋_GB2312" w:eastAsia="仿宋_GB2312"/>
          <w:sz w:val="32"/>
        </w:rPr>
        <w:t>（信息来源：安徽新闻网7月9日《硬核科技培育安徽交通"新"图景》  https://baijiahao.baidu.com/s?id=1870190975008814362&amp;wfr=spider&amp;for=pc）</w:t>
      </w:r>
    </w:p>
    <w:p>
      <w:pPr>
        <w:spacing w:lineRule="exact" w:line="560" w:before="280" w:after="0"/>
      </w:pPr>
      <w:r>
        <w:rPr>
          <w:rFonts w:ascii="黑体" w:hAnsi="黑体" w:eastAsia="黑体"/>
          <w:b/>
          <w:sz w:val="32"/>
        </w:rPr>
        <w:t>4. 二〇三〇年辽宁服务业增加值力争超过二点四万亿元</w:t>
      </w:r>
    </w:p>
    <w:p>
      <w:pPr>
        <w:spacing w:lineRule="exact" w:line="560" w:before="0" w:after="0"/>
        <w:ind w:firstLine="420"/>
      </w:pPr>
      <w:r>
        <w:rPr>
          <w:rFonts w:ascii="仿宋_GB2312" w:hAnsi="仿宋_GB2312" w:eastAsia="仿宋_GB2312"/>
          <w:sz w:val="32"/>
        </w:rPr>
        <w:t>辽宁印发《关于推进服务业扩能提质的实施意见》，促进服务业优质高效发展，围绕产业规模、主体培育等设置28个可量化、可测算、可核验核心指标。一是分类施策：聚焦科技服务业、现代物流业、软件信息业、金融业、水利环境业、租赁和商务服务业六大生产性服务业，推动生产性服务业高端化发展；围绕居民服务业、文体娱乐业、住宿餐饮业三大生活性服务业，促进生活性服务业高品质升级。二是重点工程：部署主体培育壮大、绿色智能发展、应用场景推广、标准品牌创建、产业融合发展、基础设施保障六大重点工程。三是目标指标：到2027年，全社会物流总费用与GDP比率降至13.5%，年收入超亿元软件企业达到95家，5G工厂数量达到80个；到2030年，全省服务业增加值达到2.4万亿元以上，数字经济核心产业增加值占GDP比重达到6.5%。四是投资保障：统筹用好"两重""两新"、超长期特别国债、政策性金融工具等，加大科创、物流、养老托育、医疗健康、文旅消费等领域投入；用好新质生产力母基金、产业创投基金，支持工业设计、检验检测、中试基地、冷链物流等载体建设；常态化开展政银企投融资路演，滚动推进重大项目，实行项目管家全周期服务。</w:t>
      </w:r>
    </w:p>
    <w:p>
      <w:pPr>
        <w:spacing w:lineRule="exact" w:line="560" w:before="0" w:after="280"/>
      </w:pPr>
      <w:r>
        <w:rPr>
          <w:rFonts w:ascii="仿宋_GB2312" w:hAnsi="仿宋_GB2312" w:eastAsia="仿宋_GB2312"/>
          <w:sz w:val="32"/>
        </w:rPr>
        <w:t>（信息来源：辽宁日报7月9日《二〇三〇年辽宁服务业增加值力争超过二点四万亿元》  https://epaper.lnd.com.cn/lnrbepaper/pc/con/202607/09/content_331906.html）</w:t>
      </w:r>
    </w:p>
    <w:p>
      <w:pPr>
        <w:spacing w:lineRule="exact" w:line="560" w:before="280" w:after="0"/>
      </w:pPr>
      <w:r>
        <w:rPr>
          <w:rFonts w:ascii="黑体" w:hAnsi="黑体" w:eastAsia="黑体"/>
          <w:b/>
          <w:sz w:val="32"/>
        </w:rPr>
        <w:t>5. 在关键赛道频频"亮剑"</w:t>
      </w:r>
    </w:p>
    <w:p>
      <w:pPr>
        <w:spacing w:lineRule="exact" w:line="560" w:before="0" w:after="0"/>
        <w:ind w:firstLine="420"/>
      </w:pPr>
      <w:r>
        <w:rPr>
          <w:rFonts w:ascii="仿宋_GB2312" w:hAnsi="仿宋_GB2312" w:eastAsia="仿宋_GB2312"/>
          <w:sz w:val="32"/>
        </w:rPr>
        <w:t>浙江围绕科技创新全链条，系统梳理支撑创新成果涌现的机制性安排。一是教科人一体改革：推动"企业认定、政府认账"，深化"双聘""共享"机制，实现人才在高校、企业、科研院所间流动使用；2025年以来选派"科技副总"1787名、"产业教授"973名，带动6800多名副高职称以上人才参与流动共享，并将省外人才、技能型人才、应用型高校和职业院校师资纳入选派范围。二是平台支撑：实施"双一流196工程"一流学科建设，依托全国重点实验室、全省重点实验室等高能级平台，为重大科研攻关提供支撑。三是产学研融合：探索构建"平台+高校+企业+产业链"结对机制，落实"四题一评"机制，支持龙头企业牵头组建任务型、体系化创新联合体，与重大科技专项联动布局。四是投入机制：2025年出台《关于营造良好创新生态 构建完善科技创新投入机制的实施意见》，明确到2027年全省科技创新投入超9000亿元、2030年突破1.1万亿元的目标，构建政府、企业、高校科研机构"全链条投入机制"，近年来研发经费投入年均保持两位数增长。</w:t>
      </w:r>
    </w:p>
    <w:p>
      <w:pPr>
        <w:spacing w:lineRule="exact" w:line="560" w:before="0" w:after="280"/>
      </w:pPr>
      <w:r>
        <w:rPr>
          <w:rFonts w:ascii="仿宋_GB2312" w:hAnsi="仿宋_GB2312" w:eastAsia="仿宋_GB2312"/>
          <w:sz w:val="32"/>
        </w:rPr>
        <w:t>（信息来源：浙江日报7月9日《在关键赛道频频"亮剑"》  https://zjnews.zjol.com.cn/zjnews/202607/t20260709_31773850.shtml）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