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after="12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lineRule="exact" w:line="560" w:after="40"/>
        <w:ind w:firstLine="640"/>
      </w:pPr>
      <w:r>
        <w:rPr>
          <w:rFonts w:ascii="仿宋_GB2312" w:hAnsi="仿宋_GB2312" w:eastAsia="仿宋_GB2312"/>
          <w:sz w:val="32"/>
        </w:rPr>
        <w:t>（2026年10月6日 · 省级党报经济·科技·消费创新举措精选，福建省可借鉴）</w:t>
      </w:r>
    </w:p>
    <w:p>
      <w:pPr>
        <w:spacing w:lineRule="exact" w:line="560" w:before="200" w:after="80"/>
      </w:pPr>
      <w:r>
        <w:rPr>
          <w:rFonts w:ascii="黑体" w:hAnsi="黑体" w:eastAsia="黑体"/>
          <w:b/>
          <w:sz w:val="32"/>
        </w:rPr>
        <w:t>1、“万亿产业”怎样迈向“万亿生态”</w:t>
      </w:r>
    </w:p>
    <w:p>
      <w:pPr>
        <w:spacing w:lineRule="exact" w:line="560" w:after="40"/>
        <w:ind w:firstLine="640"/>
      </w:pPr>
      <w:r>
        <w:rPr>
          <w:rFonts w:ascii="仿宋_GB2312" w:hAnsi="仿宋_GB2312" w:eastAsia="仿宋_GB2312"/>
          <w:sz w:val="32"/>
        </w:rPr>
        <w:t>常州市以能博会为载体，推动新能源“万亿产业”向“万亿生态”跃升，其核心是以场景开放串联技术、产品与资本。一是发布《十大领域·百项场景·千亿投资》计划。面向全社会开放全域百项应用场景，构建七大类场景体系，同步发布产业能力清单、市场机会清单；明确未来三年新能源领域在建产业项目448个、总投资2287亿元，应用与基础设施投资500亿元，其中与算力网相关的Token工厂项目总投资80亿元，把城市作为技术迭代的“超级实景试验场”。二是全国首创企业首席“双碳”官制度。启动“零碳常州·试点领航”首席“双碳”官共创行动，由企业高管统筹碳资产管理与减排目标落地，推动政企协同、全域共治、系统降碳，构建绿色低碳产业发展新格局。三是依托四大国家级试点加大场景开放。紧扣碳达峰、新型电力系统、车网互动、零碳园区四类国家级试点，布局一批示范项目，推动应用场景与创新产品互促互进，形成“常州验证、输送全国、组团出海”的扩散路径。四是建设AI赋能与词元运营枢纽。签约《超聚变常州AI赋能中心》战略合作协议，揭牌长三角（常州）词元运营中心，定位为词元运营与流通总枢纽及企业专属AI建设统一入口，探索词元“生产—运营—交易—金融”全链条。五是打造“技术—产品—装备—系统—场景”展示逻辑。以产业成长脉络组织展会，集中呈现固态电池、钠电、无损检测等前沿技术与七大类52个“常州产”创新终端，把专业产业内容转化为可感知的现场体验。</w:t>
      </w:r>
    </w:p>
    <w:p>
      <w:pPr>
        <w:spacing w:lineRule="exact" w:line="560" w:before="40"/>
      </w:pPr>
      <w:r>
        <w:rPr>
          <w:rFonts w:ascii="仿宋_GB2312" w:hAnsi="仿宋_GB2312" w:eastAsia="仿宋_GB2312"/>
          <w:sz w:val="32"/>
        </w:rPr>
        <w:t>（信息来源：新华日报10月6日《“万亿产业”怎样迈向“万亿生态”》  https://xh.xhby.net/pc/con/202610/06/content_1595104.html）</w:t>
      </w:r>
    </w:p>
    <w:p>
      <w:pPr>
        <w:spacing w:lineRule="exact" w:line="560" w:before="200" w:after="80"/>
      </w:pPr>
      <w:r>
        <w:rPr>
          <w:rFonts w:ascii="黑体" w:hAnsi="黑体" w:eastAsia="黑体"/>
          <w:b/>
          <w:sz w:val="32"/>
        </w:rPr>
        <w:t>2、车间“含AI量”提升发展“含金量”</w:t>
      </w:r>
    </w:p>
    <w:p>
      <w:pPr>
        <w:spacing w:lineRule="exact" w:line="560" w:after="40"/>
        <w:ind w:firstLine="640"/>
      </w:pPr>
      <w:r>
        <w:rPr>
          <w:rFonts w:ascii="仿宋_GB2312" w:hAnsi="仿宋_GB2312" w:eastAsia="仿宋_GB2312"/>
          <w:sz w:val="32"/>
        </w:rPr>
        <w:t>南通开发区锚定南通人工智能主轴产业带“排头兵”定位，构建“算力、场景、平台、生态”四位一体发展格局，加快人工智能与实体经济深度融合。一是筑牢算力底座。力争到2028年智算规模达到3万P、数字经济产业规模突破650亿元；阿里巴巴加码打造基于“真武”芯片的超大规模江苏智算中心，建成阿里全球最大数据中心集群；南通首座“光电协同智算中心”破土动工，破解高密度集群数据传输瓶颈。二是以开放场景牵引技术落地。系统梳理区内传统制造企业需求，依托智算中心算力支撑，联合AI技术服务商与高校科研团队，为不同生产场景量身打造AI解决方案，推动人工智能下沉生产一线，如中天科技船用电缆智能车间应用AI外径自适应决策与机器视觉质检，惠生清洁爬壁焊接机器人“际銮”大模型通过国家生成式人工智能服务备案。三是设立人工智能主题专项基金。今年5月设立全市首只人工智能主题专项基金——南通产控思源人工智能先导基金，首期规模2.71亿元，深度链接上海交通大学科研资源与校友生态；截至目前已有7个项目通过投决会，助力孪心医疗等初创企业落地。四是完善产业生态培育。依托算力、场景、平台、资金综合优势，集聚泛人工智能企业超百家，获批南通唯一的省数字经济创新发展试点，形成“算力支撑场景、场景打磨技术、技术反哺产业”的良性循环。</w:t>
      </w:r>
    </w:p>
    <w:p>
      <w:pPr>
        <w:spacing w:lineRule="exact" w:line="560" w:before="40"/>
      </w:pPr>
      <w:r>
        <w:rPr>
          <w:rFonts w:ascii="仿宋_GB2312" w:hAnsi="仿宋_GB2312" w:eastAsia="仿宋_GB2312"/>
          <w:sz w:val="32"/>
        </w:rPr>
        <w:t>（信息来源：新华日报10月6日《车间“含AI量”提升发展“含金量”》  https://xh.xhby.net/pc/con/202610/06/content_1595105.html）</w:t>
      </w:r>
    </w:p>
    <w:p>
      <w:pPr>
        <w:spacing w:lineRule="exact" w:line="560" w:before="200" w:after="80"/>
      </w:pPr>
      <w:r>
        <w:rPr>
          <w:rFonts w:ascii="黑体" w:hAnsi="黑体" w:eastAsia="黑体"/>
          <w:b/>
          <w:sz w:val="32"/>
        </w:rPr>
        <w:t>3、招一个落一个，成一个见效一个</w:t>
      </w:r>
    </w:p>
    <w:p>
      <w:pPr>
        <w:spacing w:lineRule="exact" w:line="560" w:after="40"/>
        <w:ind w:firstLine="640"/>
      </w:pPr>
      <w:r>
        <w:rPr>
          <w:rFonts w:ascii="仿宋_GB2312" w:hAnsi="仿宋_GB2312" w:eastAsia="仿宋_GB2312"/>
          <w:sz w:val="32"/>
        </w:rPr>
        <w:t>沭阳县提出项目“招一个、落一个、成一个、见效一个”，把项目甄别、产业研究、要素保障、项目帮办等环节往前赶、往细做，推动项目从签约向开工、建设、投产全链条延伸。一是严把招商准入关。招商人员对接时先研究企业、研究产业，算清产业方向、投资强度、亩均产出、环境影响等“账”，再看项目与沭阳产业基础是否匹配；园区手中既备项目名单，也持厂房、土地等空间资源清单，优先盘活现有标准化厂房承接项目。二是推动要素跟着项目走。县项目建设推进中心将重点项目从签约即纳入推进清单，对土地、审批、能耗、环境容量等事项逐项梳理，能够并联办理的同步推进，需部门协调的由专人跟进；服务人员提前研判建设节点，把可能影响开工、投产的事项尽早排出。三是设定刚性进度目标。明确要求新签约项目当年开工率超过50%、新开工项目如期竣工率超过80%、新竣工项目一年内投产率超过90%，以节点约束倒逼落地实效。四是推行“企业家见面日”。县委县政府主要负责人定期与企业家“一对一”交流，企业无需准备发言材料，生产经营中遇到什么问题就谈什么，相关部门按事项分类办理、明确路径与时限，复杂事项提级办理、挂牌督办。五是设立“办不成事”窗口与“企业安静生产期”。今年3月起在县乡两级政务服务大厅强化“办不成事”窗口职能，通过首席代表会商、综合窗口现场辅导集中处置疑难；同时推行“企业安静生产期”，减少多头检查、重复检查，让企业专注生产建设。</w:t>
      </w:r>
    </w:p>
    <w:p>
      <w:pPr>
        <w:spacing w:lineRule="exact" w:line="560" w:before="40"/>
      </w:pPr>
      <w:r>
        <w:rPr>
          <w:rFonts w:ascii="仿宋_GB2312" w:hAnsi="仿宋_GB2312" w:eastAsia="仿宋_GB2312"/>
          <w:sz w:val="32"/>
        </w:rPr>
        <w:t>（信息来源：新华日报10月6日《招一个落一个，成一个见效一个》  https://xh.xhby.net/pc/con/202610/06/content_1595107.html）</w:t>
      </w:r>
    </w:p>
    <w:p>
      <w:pPr>
        <w:spacing w:lineRule="exact" w:line="560" w:before="200" w:after="80"/>
      </w:pPr>
      <w:r>
        <w:rPr>
          <w:rFonts w:ascii="黑体" w:hAnsi="黑体" w:eastAsia="黑体"/>
          <w:b/>
          <w:sz w:val="32"/>
        </w:rPr>
        <w:t>4、浙江启动智能家居购新补贴</w:t>
      </w:r>
    </w:p>
    <w:p>
      <w:pPr>
        <w:spacing w:lineRule="exact" w:line="560" w:after="40"/>
        <w:ind w:firstLine="640"/>
      </w:pPr>
      <w:r>
        <w:rPr>
          <w:rFonts w:ascii="仿宋_GB2312" w:hAnsi="仿宋_GB2312" w:eastAsia="仿宋_GB2312"/>
          <w:sz w:val="32"/>
        </w:rPr>
        <w:t>浙江省商务厅发布开展智能家居购新补贴工作的公告，将人工智能与消费深度融合，以真金白银释放家居消费潜力。一是明确实施期限。2026年消费品以旧换新智能家居购新补贴自公告发布之日起至12月31日止，给予充足窗口期。二是划定补贴品类。覆盖智能门锁、智能加湿器/除湿器、智能扫地/洗地机、智能吸油烟机、智能燃气灶/集成灶、智能洗碗机、智能马桶、智能相机、智能床/床垫、智能微波炉共10类智能家居产品，产品须具1项以上智能功能。三是确定补贴标准。个人消费者购置上述商品，按扣除商家各环节优惠后最终成交价的15%予以补贴，每名消费者每个品类仅可享受1件商品补贴，每件补贴不超过1500元。四是严格商品准入。参加补贴商品须具有统一国标13位商品编码，须为中国能效或水效标识1级且已在能效或水效标识网备案；补贴商品须设置唯一序列号（SN码）进行溯源管控，防范商品再次流转、重复申领补贴。五是优化申领流程。补贴申领方式及流程参照浙江省家电以旧换新政策执行，消费者可通过云闪付等“浙里焕新”小程序领取智能家居补贴资格；产品交易发票须于12月31日前开具，物流配送、安装及核销资料须于次年1月31日前完成。六是实行资金总量管控。补贴资金按照专项资金总量控制、逐月统筹安排，当月额度“先到先得、领完即止”，未申领到当月额度的可后续月份继续申请；相关部门利用大数据技术加强资金使用与经营行为监管，严厉打击虚假申报、骗取补贴。</w:t>
      </w:r>
    </w:p>
    <w:p>
      <w:pPr>
        <w:spacing w:lineRule="exact" w:line="560" w:before="40"/>
      </w:pPr>
      <w:r>
        <w:rPr>
          <w:rFonts w:ascii="仿宋_GB2312" w:hAnsi="仿宋_GB2312" w:eastAsia="仿宋_GB2312"/>
          <w:sz w:val="32"/>
        </w:rPr>
        <w:t>（信息来源：浙江日报10月6日《浙江启动智能家居购新补贴》  https://new.qq.com/rain/a/20261006A03DS200）</w:t>
      </w:r>
    </w:p>
    <w:p>
      <w:pPr>
        <w:spacing w:lineRule="exact" w:line="560" w:before="200" w:after="80"/>
      </w:pPr>
      <w:r>
        <w:rPr>
          <w:rFonts w:ascii="黑体" w:hAnsi="黑体" w:eastAsia="黑体"/>
          <w:b/>
          <w:sz w:val="32"/>
        </w:rPr>
        <w:t>5、智游开场，科技点亮假日烟火</w:t>
      </w:r>
    </w:p>
    <w:p>
      <w:pPr>
        <w:spacing w:lineRule="exact" w:line="560" w:after="40"/>
        <w:ind w:firstLine="640"/>
      </w:pPr>
      <w:r>
        <w:rPr>
          <w:rFonts w:ascii="仿宋_GB2312" w:hAnsi="仿宋_GB2312" w:eastAsia="仿宋_GB2312"/>
          <w:sz w:val="32"/>
        </w:rPr>
        <w:t>江苏各地以国庆假期为契机，推动“科技+文旅”从概念走进日常，通过一批智游新场景的深化升级，重塑游客出行体验并拉动假日消费。一是打造科技演艺夜场。无锡拈花湾以无人机群表演与烟花秀“双引擎”联袂上演，因呼声高涨临时加开夜场场次，将科技夜场变为“留客过夜”的经营引擎；2026南通文旅嘉年华连续七晚送上无人机表演，十大主题展区同步开放，音乐、文创、电竞、家纺、汽车等消费场景集中亮相。二是开行“移动Livehouse”。南京“唱享巴士”在演唱会接驳基础上于10月1日起常态化运营，线路串联新街口、长江路、夫子庙三大地标，车厢配备动感灯光、专业音响与歌词大屏，票价39元，让市民游客上车开麦。三是开设机器人6S店。南京首家机器人6S店9月28日开业，人形机器人弹奏钢琴、与游客猜拳把脉，二楼付费体验区设机器狗越野、脑控赛车、人机对弈等项目，并已落地青少年研学，未来探索机器人租赁、维修及老年大学课程等业态。四是上线AI旅行搭子。江苏智慧旅游平台“苏心游”节前改版升级，AI助手“苏苏”可语音定制行程并一屏整合景区客流饱和度、车位、厕所等消费福利；连云港AI伴游智能体“猴开心”作为赛博导游，依托6000多条问答知识库一键定制行程。五是布局商圈科技矩阵。宿迁京东天地连接双节打造“得味生活节”，机器人赛博舞团与裸眼3D大屏组成科技过节项目矩阵，开业数日即揽客数十万人次，科技场景成为商圈实打实的引流入口。</w:t>
      </w:r>
    </w:p>
    <w:p>
      <w:pPr>
        <w:spacing w:lineRule="exact" w:line="560" w:before="40"/>
      </w:pPr>
      <w:r>
        <w:rPr>
          <w:rFonts w:ascii="仿宋_GB2312" w:hAnsi="仿宋_GB2312" w:eastAsia="仿宋_GB2312"/>
          <w:sz w:val="32"/>
        </w:rPr>
        <w:t>（信息来源：新华日报10月6日《智游开场，科技点亮假日烟火》  https://xh.xhby.net/pc/con/202610/06/content_1595110.html）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