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after="0"/>
        <w:jc w:val="center"/>
      </w:pPr>
      <w:r>
        <w:rPr>
          <w:rFonts w:ascii="黑体" w:hAnsi="黑体" w:eastAsia="黑体"/>
          <w:b/>
          <w:sz w:val="32"/>
        </w:rPr>
        <w:t>媒体信息摘报</w:t>
      </w:r>
    </w:p>
    <w:p>
      <w:pPr>
        <w:spacing w:lineRule="exact" w:line="560" w:after="0"/>
        <w:jc w:val="center"/>
      </w:pPr>
      <w:r>
        <w:rPr>
          <w:rFonts w:ascii="仿宋_GB2312" w:hAnsi="仿宋_GB2312" w:eastAsia="仿宋_GB2312"/>
          <w:sz w:val="32"/>
        </w:rPr>
        <w:t>2026年7月31日</w:t>
      </w:r>
    </w:p>
    <w:p>
      <w:pPr>
        <w:spacing w:lineRule="exact" w:line="560" w:after="0"/>
      </w:pPr>
      <w:r>
        <w:rPr>
          <w:rFonts w:ascii="黑体" w:hAnsi="黑体" w:eastAsia="黑体"/>
          <w:b/>
          <w:sz w:val="32"/>
        </w:rPr>
        <w:t>一、"千年商都"迈向全球新消费策源地</w:t>
      </w:r>
    </w:p>
    <w:p>
      <w:pPr>
        <w:spacing w:lineRule="exact" w:line="560" w:after="0"/>
        <w:ind w:firstLine="480"/>
      </w:pPr>
      <w:r>
        <w:rPr>
          <w:rFonts w:ascii="仿宋_GB2312" w:hAnsi="仿宋_GB2312" w:eastAsia="仿宋_GB2312"/>
          <w:sz w:val="32"/>
        </w:rPr>
        <w:t>广州培育建设国际消费中心城市五周年，交出亮眼答卷，系统推进从空间到场景、从品牌到环境的消费能级跃升。</w:t>
      </w:r>
    </w:p>
    <w:p>
      <w:pPr>
        <w:spacing w:lineRule="exact" w:line="560" w:after="0"/>
        <w:ind w:firstLine="480"/>
      </w:pPr>
      <w:r>
        <w:rPr>
          <w:rFonts w:ascii="仿宋_GB2312" w:hAnsi="仿宋_GB2312" w:eastAsia="仿宋_GB2312"/>
          <w:sz w:val="32"/>
        </w:rPr>
        <w:t>一是强化顶层设计，出台商圈发展专项规划，为11个区量身定制商业建设重点，构建"5+2+4+22"重点商圈格局；太古汇、K11、太古里、万象城、SKP五大高端商业IP首次同城聚首，全市优质零售物业达633万平方米。</w:t>
      </w:r>
    </w:p>
    <w:p>
      <w:pPr>
        <w:spacing w:lineRule="exact" w:line="560" w:after="0"/>
        <w:ind w:firstLine="480"/>
      </w:pPr>
      <w:r>
        <w:rPr>
          <w:rFonts w:ascii="仿宋_GB2312" w:hAnsi="仿宋_GB2312" w:eastAsia="仿宋_GB2312"/>
          <w:sz w:val="32"/>
        </w:rPr>
        <w:t>二是推进老旧小区"绣花式"改造，带动北京路、永庆坊、上下九、东山口等街区提质升级，在保留历史风貌基础上活化建筑空间，吸引潮流品牌、文创店铺、特色餐饮集聚；全市100余个老旧小区完成改造，22个试点、88个社区搭建"一刻钟便民生活圈"，近98万居民下楼即享便利。</w:t>
      </w:r>
    </w:p>
    <w:p>
      <w:pPr>
        <w:spacing w:lineRule="exact" w:line="560" w:after="0"/>
        <w:ind w:firstLine="480"/>
      </w:pPr>
      <w:r>
        <w:rPr>
          <w:rFonts w:ascii="仿宋_GB2312" w:hAnsi="仿宋_GB2312" w:eastAsia="仿宋_GB2312"/>
          <w:sz w:val="32"/>
        </w:rPr>
        <w:t>三是推出"羊城消费新八景"贯穿全年，链接节庆、赛事、演艺等多元场景，将"吃住行游购娱"串珠成链，推动消费向场景体验延伸。</w:t>
      </w:r>
    </w:p>
    <w:p>
      <w:pPr>
        <w:spacing w:lineRule="exact" w:line="560" w:after="0"/>
        <w:ind w:firstLine="480"/>
      </w:pPr>
      <w:r>
        <w:rPr>
          <w:rFonts w:ascii="仿宋_GB2312" w:hAnsi="仿宋_GB2312" w:eastAsia="仿宋_GB2312"/>
          <w:sz w:val="32"/>
        </w:rPr>
        <w:t>四是设立全国首只老字号振兴地方性基金，五年累计支持42家企业60个项目，拨付资金超2.3亿元；全市离境退税商店从76家增至超1750家，2025年退税销售额超6.9亿元，较2021年增长594倍；超1.6万重点商户支持外卡刷卡，近400个地铁站9000台闸机支持外卡"拍卡"过闸；2025年全市限额以上批零业通过公共网络实现零售额超3500亿元。</w:t>
      </w:r>
    </w:p>
    <w:p>
      <w:pPr>
        <w:spacing w:lineRule="exact" w:line="560" w:after="0"/>
        <w:ind w:firstLine="480"/>
      </w:pPr>
      <w:r>
        <w:rPr>
          <w:rFonts w:ascii="仿宋_GB2312" w:hAnsi="仿宋_GB2312" w:eastAsia="仿宋_GB2312"/>
          <w:sz w:val="32"/>
        </w:rPr>
        <w:t>（信息来源：南方日报7月31日《"千年商都"迈向全球新消费策源地》  https://epaper.nfnews.com/nfdaily/html/202607/31/content_10177381.html）</w:t>
      </w:r>
    </w:p>
    <w:p>
      <w:pPr>
        <w:spacing w:lineRule="exact" w:line="560" w:after="0"/>
      </w:pPr>
      <w:r>
        <w:rPr>
          <w:rFonts w:ascii="黑体" w:hAnsi="黑体" w:eastAsia="黑体"/>
          <w:b/>
          <w:sz w:val="32"/>
        </w:rPr>
        <w:t>二、查验流程"搬"进无尘车间</w:t>
      </w:r>
    </w:p>
    <w:p>
      <w:pPr>
        <w:spacing w:lineRule="exact" w:line="560" w:after="0"/>
        <w:ind w:firstLine="480"/>
      </w:pPr>
      <w:r>
        <w:rPr>
          <w:rFonts w:ascii="仿宋_GB2312" w:hAnsi="仿宋_GB2312" w:eastAsia="仿宋_GB2312"/>
          <w:sz w:val="32"/>
        </w:rPr>
        <w:t>黄埔海关将真空包装等高新技术货物布控查验模式落地企业无尘车间，关员上门检查，破解精密设备、原材料在口岸开拆易受损受污的难题，实现安全高效进口。</w:t>
      </w:r>
    </w:p>
    <w:p>
      <w:pPr>
        <w:spacing w:lineRule="exact" w:line="560" w:after="0"/>
        <w:ind w:firstLine="480"/>
      </w:pPr>
      <w:r>
        <w:rPr>
          <w:rFonts w:ascii="仿宋_GB2312" w:hAnsi="仿宋_GB2312" w:eastAsia="仿宋_GB2312"/>
          <w:sz w:val="32"/>
        </w:rPr>
        <w:t>一是海关总署自2023年推出真空包装等高新技术货物布控查验模式改革，将需真空包装、防光防尘、恒温储存的原材料或设备，从口岸转移至具备条件的场所检查，有效保护设备和产品性能，避免货物品质受影响。</w:t>
      </w:r>
    </w:p>
    <w:p>
      <w:pPr>
        <w:spacing w:lineRule="exact" w:line="560" w:after="0"/>
        <w:ind w:firstLine="480"/>
      </w:pPr>
      <w:r>
        <w:rPr>
          <w:rFonts w:ascii="仿宋_GB2312" w:hAnsi="仿宋_GB2312" w:eastAsia="仿宋_GB2312"/>
          <w:sz w:val="32"/>
        </w:rPr>
        <w:t>二是黄埔海关辖区上半年共有36家企业获得该模式备案，其中4家通过智慧网备平台提交申请；累计约79.17亿元高新技术货物享受到该政策的通关便利。以广州增芯科技为例，企业供应链总监表示，进口精密设备由海关关员直接上门到无尘车间检查，避免设备受损或污染，既安全又高效；该企业上半年运用该模式申报进口产品货值达3.16亿元。</w:t>
      </w:r>
    </w:p>
    <w:p>
      <w:pPr>
        <w:spacing w:lineRule="exact" w:line="560" w:after="0"/>
        <w:ind w:firstLine="480"/>
      </w:pPr>
      <w:r>
        <w:rPr>
          <w:rFonts w:ascii="仿宋_GB2312" w:hAnsi="仿宋_GB2312" w:eastAsia="仿宋_GB2312"/>
          <w:sz w:val="32"/>
        </w:rPr>
        <w:t>三是海关持续推动"送政策上门"服务，组织"关企面对面"专场宣讲，设立服务专岗随时解答企业疑问；针对不同企业特点定制服务指导方案，实现"秒传即达""随到随审"，让更多高新技术企业在进口环节少跑腿、快通关；同时加强备案企业培育，扩大政策覆盖面，使集成电路、新型显示等更多高新技术企业享受到通关便利。</w:t>
      </w:r>
    </w:p>
    <w:p>
      <w:pPr>
        <w:spacing w:lineRule="exact" w:line="560" w:after="0"/>
        <w:ind w:firstLine="480"/>
      </w:pPr>
      <w:r>
        <w:rPr>
          <w:rFonts w:ascii="仿宋_GB2312" w:hAnsi="仿宋_GB2312" w:eastAsia="仿宋_GB2312"/>
          <w:sz w:val="32"/>
        </w:rPr>
        <w:t>（信息来源：南方日报7月31日《查验流程"搬"进无尘车间》  https://epaper.nfnews.com/nfdaily/html/202607/31/content_10177385.html）</w:t>
      </w:r>
    </w:p>
    <w:p>
      <w:pPr>
        <w:spacing w:lineRule="exact" w:line="560" w:after="0"/>
      </w:pPr>
      <w:r>
        <w:rPr>
          <w:rFonts w:ascii="黑体" w:hAnsi="黑体" w:eastAsia="黑体"/>
          <w:b/>
          <w:sz w:val="32"/>
        </w:rPr>
        <w:t>三、将率先探路生态化出海</w:t>
      </w:r>
    </w:p>
    <w:p>
      <w:pPr>
        <w:spacing w:lineRule="exact" w:line="560" w:after="0"/>
        <w:ind w:firstLine="480"/>
      </w:pPr>
      <w:r>
        <w:rPr>
          <w:rFonts w:ascii="仿宋_GB2312" w:hAnsi="仿宋_GB2312" w:eastAsia="仿宋_GB2312"/>
          <w:sz w:val="32"/>
        </w:rPr>
        <w:t>7月30日，全球跨境贸易产业集聚区生态大会在广州南沙举行，全省首个全球跨境贸易产业集聚区启动建设，广东词元交易和服务中心正式揭牌，为生态化出海率先探路。</w:t>
      </w:r>
    </w:p>
    <w:p>
      <w:pPr>
        <w:spacing w:lineRule="exact" w:line="560" w:after="0"/>
        <w:ind w:firstLine="480"/>
      </w:pPr>
      <w:r>
        <w:rPr>
          <w:rFonts w:ascii="仿宋_GB2312" w:hAnsi="仿宋_GB2312" w:eastAsia="仿宋_GB2312"/>
          <w:sz w:val="32"/>
        </w:rPr>
        <w:t>一是构建"软硬兼施"生态赋能。软生态将"关、税、汇、融、仓、证、商、物"八大核心服务深度整合，以区块链、AI智能运营为数字基座，为企业铺就低成本、高合规快车道；中科汇智实现与海关、税务、国有银行数据直连，累计跨境结算金额超1700亿元。</w:t>
      </w:r>
    </w:p>
    <w:p>
      <w:pPr>
        <w:spacing w:lineRule="exact" w:line="560" w:after="0"/>
        <w:ind w:firstLine="480"/>
      </w:pPr>
      <w:r>
        <w:rPr>
          <w:rFonts w:ascii="仿宋_GB2312" w:hAnsi="仿宋_GB2312" w:eastAsia="仿宋_GB2312"/>
          <w:sz w:val="32"/>
        </w:rPr>
        <w:t>二是硬生态由区属国企南沙开建集团统筹开发运营，构建"上下楼就是上下游"产业聚合生态圈；依托南沙港开通180余条国际航线、通达400多个港口，2025年集装箱吞吐量突破2260万标箱；通过"一港通"模式串联23个支线港口，货物平均堆存期从7天压缩至2天以内。</w:t>
      </w:r>
    </w:p>
    <w:p>
      <w:pPr>
        <w:spacing w:lineRule="exact" w:line="560" w:after="0"/>
        <w:ind w:firstLine="480"/>
      </w:pPr>
      <w:r>
        <w:rPr>
          <w:rFonts w:ascii="仿宋_GB2312" w:hAnsi="仿宋_GB2312" w:eastAsia="仿宋_GB2312"/>
          <w:sz w:val="32"/>
        </w:rPr>
        <w:t>三是成立广东词元交易和服务中心，由省政务服务和数据管理局统筹、依托广州数据交易所建设，为跨境贸易数据流通提供制度性保障，承接国家数据领域国际合作试点，打造粤港澳数据特区，布局词元经济新赛道。</w:t>
      </w:r>
    </w:p>
    <w:p>
      <w:pPr>
        <w:spacing w:lineRule="exact" w:line="560" w:after="0"/>
        <w:ind w:firstLine="480"/>
      </w:pPr>
      <w:r>
        <w:rPr>
          <w:rFonts w:ascii="仿宋_GB2312" w:hAnsi="仿宋_GB2312" w:eastAsia="仿宋_GB2312"/>
          <w:sz w:val="32"/>
        </w:rPr>
        <w:t>四是会上一批跨境贸易、汽车出口、港口供应链、外贸金融重点项目同步签约落地，进一步完善区域跨境出海全链条产业生态。</w:t>
      </w:r>
    </w:p>
    <w:p>
      <w:pPr>
        <w:spacing w:lineRule="exact" w:line="560" w:after="0"/>
        <w:ind w:firstLine="480"/>
      </w:pPr>
      <w:r>
        <w:rPr>
          <w:rFonts w:ascii="仿宋_GB2312" w:hAnsi="仿宋_GB2312" w:eastAsia="仿宋_GB2312"/>
          <w:sz w:val="32"/>
        </w:rPr>
        <w:t>（信息来源：南方日报7月31日《将率先探路生态化出海》  https://epaper.nfnews.com/nfdaily/html/202607/31/content_10177378.html）</w:t>
      </w:r>
    </w:p>
    <w:p>
      <w:pPr>
        <w:spacing w:lineRule="exact" w:line="560" w:after="0"/>
      </w:pPr>
      <w:r>
        <w:rPr>
          <w:rFonts w:ascii="黑体" w:hAnsi="黑体" w:eastAsia="黑体"/>
          <w:b/>
          <w:sz w:val="32"/>
        </w:rPr>
        <w:t>四、加速布局新赛道</w:t>
      </w:r>
    </w:p>
    <w:p>
      <w:pPr>
        <w:spacing w:lineRule="exact" w:line="560" w:after="0"/>
        <w:ind w:firstLine="480"/>
      </w:pPr>
      <w:r>
        <w:rPr>
          <w:rFonts w:ascii="仿宋_GB2312" w:hAnsi="仿宋_GB2312" w:eastAsia="仿宋_GB2312"/>
          <w:sz w:val="32"/>
        </w:rPr>
        <w:t>天津国资系统2026年上半年加速培育新质生产力，战略性新兴产业投资占比再创新高，19项成果荣获2025年度天津市科学技术奖，获奖数量为近年最多。</w:t>
      </w:r>
    </w:p>
    <w:p>
      <w:pPr>
        <w:spacing w:lineRule="exact" w:line="560" w:after="0"/>
        <w:ind w:firstLine="480"/>
      </w:pPr>
      <w:r>
        <w:rPr>
          <w:rFonts w:ascii="仿宋_GB2312" w:hAnsi="仿宋_GB2312" w:eastAsia="仿宋_GB2312"/>
          <w:sz w:val="32"/>
        </w:rPr>
        <w:t>一是建立新质生产力领导推动机制，与市科技局、市发展改革委、天津大学等联合开展场景对接和项目路演，推动科技成果加速从实验室走向生产线；渤化集团158项在研、49项储备项目有序推进，22项产学研合作落地；食品集团海河乳业取得行业首家"黑灯工厂"认证。</w:t>
      </w:r>
    </w:p>
    <w:p>
      <w:pPr>
        <w:spacing w:lineRule="exact" w:line="560" w:after="0"/>
        <w:ind w:firstLine="480"/>
      </w:pPr>
      <w:r>
        <w:rPr>
          <w:rFonts w:ascii="仿宋_GB2312" w:hAnsi="仿宋_GB2312" w:eastAsia="仿宋_GB2312"/>
          <w:sz w:val="32"/>
        </w:rPr>
        <w:t>二是国资母基金累计新设7只战略性新兴产业子基金，认缴总规模26.11亿元，撬动社会资本超11亿元；泰达控股联合天津大学、海河实验室组建天津脑机接口产业集团，注册资本10亿元，推动脑机接口产业规模化发展；城投集团、津智资本加快布局低维材料。</w:t>
      </w:r>
    </w:p>
    <w:p>
      <w:pPr>
        <w:spacing w:lineRule="exact" w:line="560" w:after="0"/>
        <w:ind w:firstLine="480"/>
      </w:pPr>
      <w:r>
        <w:rPr>
          <w:rFonts w:ascii="仿宋_GB2312" w:hAnsi="仿宋_GB2312" w:eastAsia="仿宋_GB2312"/>
          <w:sz w:val="32"/>
        </w:rPr>
        <w:t>三是在智能机器人领域，轨道交通集团牵头协同渤化、百利装备、天津港等企业在清洁、问询、安检等场景开放合作，国资产业母基金通过子基金对具身智能企业帕西尼感知科技投资2000万元；生物制造领域渤轻集团与天津大学签约推动功效化妆品原料创新技术成果转化。</w:t>
      </w:r>
    </w:p>
    <w:p>
      <w:pPr>
        <w:spacing w:lineRule="exact" w:line="560" w:after="0"/>
        <w:ind w:firstLine="480"/>
      </w:pPr>
      <w:r>
        <w:rPr>
          <w:rFonts w:ascii="仿宋_GB2312" w:hAnsi="仿宋_GB2312" w:eastAsia="仿宋_GB2312"/>
          <w:sz w:val="32"/>
        </w:rPr>
        <w:t>四是存量盘活与开放合作，市区两级盘活存量房产约52.64万平方米、新增就业岗位1567个；天津软件园吸引近400家企业注册；天津港集装箱吞吐量达1299万标箱。</w:t>
      </w:r>
    </w:p>
    <w:p>
      <w:pPr>
        <w:spacing w:lineRule="exact" w:line="560" w:after="0"/>
        <w:ind w:firstLine="480"/>
      </w:pPr>
      <w:r>
        <w:rPr>
          <w:rFonts w:ascii="仿宋_GB2312" w:hAnsi="仿宋_GB2312" w:eastAsia="仿宋_GB2312"/>
          <w:sz w:val="32"/>
        </w:rPr>
        <w:t>（信息来源：天津日报7月31日《加速布局新赛道》  https://epaper.tianjinwe.com/tjrb/html/2026-07/31/content_143078_3691027.htm）</w:t>
      </w:r>
    </w:p>
    <w:p>
      <w:pPr>
        <w:spacing w:lineRule="exact" w:line="560" w:after="0"/>
      </w:pPr>
      <w:r>
        <w:rPr>
          <w:rFonts w:ascii="黑体" w:hAnsi="黑体" w:eastAsia="黑体"/>
          <w:b/>
          <w:sz w:val="32"/>
        </w:rPr>
        <w:t>五、汇八方优品 聚创新服务</w:t>
      </w:r>
    </w:p>
    <w:p>
      <w:pPr>
        <w:spacing w:lineRule="exact" w:line="560" w:after="0"/>
        <w:ind w:firstLine="480"/>
      </w:pPr>
      <w:r>
        <w:rPr>
          <w:rFonts w:ascii="仿宋_GB2312" w:hAnsi="仿宋_GB2312" w:eastAsia="仿宋_GB2312"/>
          <w:sz w:val="32"/>
        </w:rPr>
        <w:t>7月30日，第31届中国天津投资贸易洽谈会在国家会展中心（天津）开幕，设置五大特色主题展馆，近700家海内外企业携新产品、新技术、新服务参展，持续至8月2日。</w:t>
      </w:r>
    </w:p>
    <w:p>
      <w:pPr>
        <w:spacing w:lineRule="exact" w:line="560" w:after="0"/>
        <w:ind w:firstLine="480"/>
      </w:pPr>
      <w:r>
        <w:rPr>
          <w:rFonts w:ascii="仿宋_GB2312" w:hAnsi="仿宋_GB2312" w:eastAsia="仿宋_GB2312"/>
          <w:sz w:val="32"/>
        </w:rPr>
        <w:t>一是综合主馆及机器人产业生态专区看点十足，朗誉、阿童木、艾普斯、博诺智创等本土科创企业集中展示重载智能物流、具身智能机器人等领域前沿成果；"供销市集"再度亮相，30余家合作社及企业带来130余款优质农副产品展销。</w:t>
      </w:r>
    </w:p>
    <w:p>
      <w:pPr>
        <w:spacing w:lineRule="exact" w:line="560" w:after="0"/>
        <w:ind w:firstLine="480"/>
      </w:pPr>
      <w:r>
        <w:rPr>
          <w:rFonts w:ascii="仿宋_GB2312" w:hAnsi="仿宋_GB2312" w:eastAsia="仿宋_GB2312"/>
          <w:sz w:val="32"/>
        </w:rPr>
        <w:t>二是依托东西部协作平台，新疆、甘肃、青海等中西部省区市展团积极参与津洽会，集中展示当地特色农产品及产业优势，推动区域产销对接与消费帮扶，拓展中西部好物入津通道。</w:t>
      </w:r>
    </w:p>
    <w:p>
      <w:pPr>
        <w:spacing w:lineRule="exact" w:line="560" w:after="0"/>
        <w:ind w:firstLine="480"/>
      </w:pPr>
      <w:r>
        <w:rPr>
          <w:rFonts w:ascii="仿宋_GB2312" w:hAnsi="仿宋_GB2312" w:eastAsia="仿宋_GB2312"/>
          <w:sz w:val="32"/>
        </w:rPr>
        <w:t>三是在S8馆举办第三届天津国际银发经济博览会，聚焦养老产业新趋势、新需求，参展企业覆盖智慧康养设备、适老化改造、老年文旅、养老金融全产业链；本土企业小橙集团展示多种智慧养老产品和护理服务，服务已覆盖国内22个省区市。</w:t>
      </w:r>
    </w:p>
    <w:p>
      <w:pPr>
        <w:spacing w:lineRule="exact" w:line="560" w:after="0"/>
        <w:ind w:firstLine="480"/>
      </w:pPr>
      <w:r>
        <w:rPr>
          <w:rFonts w:ascii="仿宋_GB2312" w:hAnsi="仿宋_GB2312" w:eastAsia="仿宋_GB2312"/>
          <w:sz w:val="32"/>
        </w:rPr>
        <w:t>四是首次举办2026天津国际咖啡产业展，集聚240余家来自全国各地的咖啡及烘焙展商，邀请非洲、南美洲咖啡豆原产国展商参展；组委会以展聚商、以产赋能，联通全球市场、整合区域资源，把展会品牌推向更广受众群体，共同做大市场，服务国内国际双循环与京津冀协同发展。</w:t>
      </w:r>
    </w:p>
    <w:p>
      <w:pPr>
        <w:spacing w:lineRule="exact" w:line="560" w:after="0"/>
        <w:ind w:firstLine="480"/>
      </w:pPr>
      <w:r>
        <w:rPr>
          <w:rFonts w:ascii="仿宋_GB2312" w:hAnsi="仿宋_GB2312" w:eastAsia="仿宋_GB2312"/>
          <w:sz w:val="32"/>
        </w:rPr>
        <w:t>（信息来源：天津日报7月31日《汇八方优品 聚创新服务》  https://epaper.tianjinwe.com/tjrb/html/2026-07/31/content_143078_3691031.htm）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