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 w:line="560" w:lineRule="exact"/>
        <w:jc w:val="center"/>
      </w:pPr>
      <w:r>
        <w:rPr>
          <w:rFonts w:ascii="SimHei" w:cs="SimHei" w:eastAsia="SimHei" w:hAnsi="SimHei"/>
          <w:b/>
          <w:bCs/>
          <w:sz w:val="44"/>
          <w:szCs w:val="44"/>
        </w:rPr>
        <w:t xml:space="preserve">媒体信息摘报</w:t>
      </w:r>
    </w:p>
    <w:p>
      <w:pPr>
        <w:spacing w:after="200" w:before="0" w:line="560" w:lineRule="exact"/>
        <w:jc w:val="center"/>
      </w:pPr>
      <w:r>
        <w:rPr>
          <w:rFonts w:ascii="FangSong_GB2312" w:cs="FangSong_GB2312" w:eastAsia="FangSong_GB2312" w:hAnsi="FangSong_GB2312"/>
          <w:sz w:val="32"/>
          <w:szCs w:val="32"/>
        </w:rPr>
        <w:t xml:space="preserve">2026年6月24日</w:t>
      </w:r>
    </w:p>
    <w:p>
      <w:pPr>
        <w:spacing w:after="200" w:before="200" w:line="560" w:lineRule="exact"/>
        <w:ind w:firstLine="640"/>
      </w:pPr>
      <w:r>
        <w:rPr>
          <w:rFonts w:ascii="FangSong_GB2312" w:cs="FangSong_GB2312" w:eastAsia="FangSong_GB2312" w:hAnsi="FangSong_GB2312"/>
          <w:sz w:val="32"/>
          <w:szCs w:val="32"/>
        </w:rPr>
        <w:t xml:space="preserve">本期摘报精选5条省级党报经济·科技·消费类新闻，聚焦各地创新举措与可借鉴做法，供决策参考。</w:t>
      </w:r>
    </w:p>
    <w:p>
      <w:pPr>
        <w:spacing w:after="200" w:before="400" w:line="560" w:lineRule="exact"/>
      </w:pPr>
      <w:r>
        <w:rPr>
          <w:rFonts w:ascii="SimHei" w:cs="SimHei" w:eastAsia="SimHei" w:hAnsi="SimHei"/>
          <w:b/>
          <w:bCs/>
          <w:sz w:val="32"/>
          <w:szCs w:val="32"/>
        </w:rPr>
        <w:t xml:space="preserve">1. 弹性出让为企业减负4680万元</w:t>
      </w:r>
    </w:p>
    <w:p>
      <w:pPr>
        <w:spacing w:line="560" w:lineRule="exact"/>
        <w:ind w:firstLine="640"/>
      </w:pPr>
      <w:r>
        <w:rPr>
          <w:rFonts w:ascii="FangSong_GB2312" w:cs="FangSong_GB2312" w:eastAsia="FangSong_GB2312" w:hAnsi="FangSong_GB2312"/>
          <w:sz w:val="32"/>
          <w:szCs w:val="32"/>
        </w:rPr>
        <w:t xml:space="preserve">湛江经开区在东海岛产业园完成首宗工业用地"弹性年期出让"交易，广东豫清源科技有限公司以3300万元成功竞得约210亩地块。这是湛江经开区贯彻落实国家及省、市关于降低实体产业用地成本、保障土地要素供给决策部署的一项具体举措。长期以来，工业用地出让普遍采用"一刀切"的最高年限模式，与企业的实际生命周期和产业发展的动态节奏不相匹配。此次推出20年期工业用地出让，正是对这一制度性难题的有力突破。一是弹性年限大幅降低企业初期用地成本。按照传统50年工业用地出让年限计算，该地块土地出让金约为7980万元。而在"弹性年期出让"模式下，企业按20年弹性年限拿地，实际缴纳出让金仅需3300万元，直接节省初期用地成本约4680万元，降幅达58.7%。二是灵活选取用地年限实现精准对接。企业可结合自身发展阶段与未来规划，灵活选取合适的用地年限，实现土地供给与产业实际需求之间的精准对接，不再受"一刀切"最高年限模式的束缚。三是缓解企业前期资金压力。弹性出让明显降低了企业初次获取土地的门槛，有效缓解了前期资金压力，使企业能够将更多资本集中投入到技术攻关、设备升级等关键环节，提高了资金使用效率。四是引导土地资源向优质高效项目倾斜。缩短单次出让周期，有助于引导土地资源向优质高效项目倾斜，避免土地低效闲置，持续提升土地利用效率和整体效益。五是有效盘活存量资源。湛江市自然资源局相关负责人表示，"弹性年期出让"的核心，是让土地供给真正匹配企业的发展周期和实际需求，既避免了土地低效闲置，又有效盘活了存量资源，让有限的土地指标发挥更大效益。下一步，湛江经开区将提供更加灵活精准的土地要素保障，让优质项目更快落地。</w:t>
      </w:r>
    </w:p>
    <w:p>
      <w:pPr>
        <w:spacing w:after="400" w:before="100" w:line="560" w:lineRule="exact"/>
      </w:pPr>
      <w:r>
        <w:rPr>
          <w:rFonts w:ascii="FangSong_GB2312" w:cs="FangSong_GB2312" w:eastAsia="FangSong_GB2312" w:hAnsi="FangSong_GB2312"/>
          <w:sz w:val="32"/>
          <w:szCs w:val="32"/>
        </w:rPr>
        <w:t xml:space="preserve">（信息来源：南方日报6月24日《弹性出让为企业减负4680万元》  https://epaper.nfnews.com/nfdaily/html/202606/24/content_10173747.html）</w:t>
      </w:r>
    </w:p>
    <w:p>
      <w:pPr>
        <w:spacing w:after="200" w:before="400" w:line="560" w:lineRule="exact"/>
      </w:pPr>
      <w:r>
        <w:rPr>
          <w:rFonts w:ascii="SimHei" w:cs="SimHei" w:eastAsia="SimHei" w:hAnsi="SimHei"/>
          <w:b/>
          <w:bCs/>
          <w:sz w:val="32"/>
          <w:szCs w:val="32"/>
        </w:rPr>
        <w:t xml:space="preserve">2. 漫步“幸福街区” 玩转“幸福经济”</w:t>
      </w:r>
    </w:p>
    <w:p>
      <w:pPr>
        <w:spacing w:line="560" w:lineRule="exact"/>
        <w:ind w:firstLine="640"/>
      </w:pPr>
      <w:r>
        <w:rPr>
          <w:rFonts w:ascii="FangSong_GB2312" w:cs="FangSong_GB2312" w:eastAsia="FangSong_GB2312" w:hAnsi="FangSong_GB2312"/>
          <w:sz w:val="32"/>
          <w:szCs w:val="32"/>
        </w:rPr>
        <w:t xml:space="preserve">2026全球新品首发季·上海时尚定制周在长宁区"M+幸福里"园区启幕。长宁区以时尚定制消费为锚点，做深做实"幸福经济"，推动本土品牌推出与"幸福"有关的定制服务，打造蕴含时尚定制业态的主题街区。一是婚登处带动消费增长。长宁区民政局婚姻登记处迁址幸福路50号后，带动今年1月至5月全区结婚登记数较去年同比增长23%，涉外婚姻登记量位居全市第一，婚登新地标成为区域消费引流的重要载体。二是打造"幸福定制服务场景"。幸福路50号婚登处开创性打造"宁好，幸福主理人"幸福定制服务场景，已累计为新人举办近10场产品体验和趣味互动活动，将婚姻登记从单一行政服务延伸为消费体验场景。三是推出复合式消费首店。福闹百货上海首店7月将在幸福里正式开业，定位为集生活服务、文创艺术和社群活动于一体的复合式消费场景，面向新人和市民游客。四是本土品牌推出"幸福"定制服务。上海服装（集团）、MEJJY美珏、人间烟火等本土品牌推出与"幸福"有关的定制服务。上服集团积极引入AI设计，升级"大地""天嘉爱"等品牌男女装定制服务，借助AI软件实现穿搭效果实景模拟，让消费者不仅买到衣服，更能获得定制过程带来的情绪价值体验。五是推出"幸福文创"产品。福闹百货将推出"百喜图"集章活动，新人们凭当日领取的结婚证可来店内免费加盖100个造型各异的"喜"字。店内还将推出一批价廉物美的"幸福文创"产品。六是联手非遗平台推出中式礼盒。幸福里集团联手长宁"非长好物"非遗平台，推出"一帕定情、一锦相守、一印同心"锦帕同心·喜堂雅匣中式礼盒、古法合香产品等。3月"上海定制"城市IP正式亮相，本土品牌呼吁集聚更多设计能力、产品生产能力和服务能力的品牌，支撑起更完整的产业生态。</w:t>
      </w:r>
    </w:p>
    <w:p>
      <w:pPr>
        <w:spacing w:after="400" w:before="100" w:line="560" w:lineRule="exact"/>
      </w:pPr>
      <w:r>
        <w:rPr>
          <w:rFonts w:ascii="FangSong_GB2312" w:cs="FangSong_GB2312" w:eastAsia="FangSong_GB2312" w:hAnsi="FangSong_GB2312"/>
          <w:sz w:val="32"/>
          <w:szCs w:val="32"/>
        </w:rPr>
        <w:t xml:space="preserve">（信息来源：解放日报6月24日《漫步"幸福街区" 玩转"幸福经济"》  https://www.shobserver.com/staticsg/res/html/journal/detail.html?code=jfrb&amp;date=2026-06-24&amp;id=517613&amp;page=02）</w:t>
      </w:r>
    </w:p>
    <w:p>
      <w:pPr>
        <w:spacing w:after="200" w:before="400" w:line="560" w:lineRule="exact"/>
      </w:pPr>
      <w:r>
        <w:rPr>
          <w:rFonts w:ascii="SimHei" w:cs="SimHei" w:eastAsia="SimHei" w:hAnsi="SimHei"/>
          <w:b/>
          <w:bCs/>
          <w:sz w:val="32"/>
          <w:szCs w:val="32"/>
        </w:rPr>
        <w:t xml:space="preserve">3. 破除壁垒，扩围提质！江苏省公积金新政精准润泽安居梦</w:t>
      </w:r>
    </w:p>
    <w:p>
      <w:pPr>
        <w:spacing w:line="560" w:lineRule="exact"/>
        <w:ind w:firstLine="640"/>
      </w:pPr>
      <w:r>
        <w:rPr>
          <w:rFonts w:ascii="FangSong_GB2312" w:cs="FangSong_GB2312" w:eastAsia="FangSong_GB2312" w:hAnsi="FangSong_GB2312"/>
          <w:sz w:val="32"/>
          <w:szCs w:val="32"/>
        </w:rPr>
        <w:t xml:space="preserve">今年以来，江苏省多地因地制宜出台公积金购房扶持新政，因城施策，公积金"活水"精准滴灌到不同群体的安居需求中。三地公积金新政路径各异、方向一致——让公积金成为保障安居、促进消费、稳定市场的政策工具。徐州方面：一是跨省互认互贷实现"零门槛"安家。在原有长三角城市、苏皖鲁豫省际交界城市互通基础上，不断拓宽公积金互认互贷范围，异地缴存人无户籍限制、无额外门槛，在徐购房即可申请公积金贷款，实现"零门槛、无差异、全覆盖"。二是支持提取公积金支付购房首付款，夫妻双方最高可贷120万元。三是青年人才最高上浮60万元，多子女家庭最高上浮40万元，购买高品质改善型住宅上浮30%。四是全面推行家庭互助机制，支持父母、子女公积金互助提取、协同还贷。五是依托"云易贷"平台，打通不动产、征信、社保等多部门数据壁垒，实现线上申请、智能审核、视频面签、电子签章、抵押登记、放款到账的全链条闭环网办。苏州方面：一是创新推出"乐居苏城"存贷产品，以"随时存、随意交、随便取、随即贴、随心贷、随身享"六大便利，开启灵活就业人员产品化缴纳公积金新模式。2026年1至5月，全市新增灵活就业人员开户11.07万人，累计开户73.48万人。二是大幅提升公积金贷款额度，个人最高150万元、家庭最高200万元。三是青年人才上浮50%，购买"两智一全"改善型住宅或现房销售住宅上浮50%，叠加最高上浮100%。四是出台全国首个青年人才公积金贷款贴息政策，贴息上限5万元。扬州方面：一是单缴存人、双缴存人贷款基础最高额度分别上调至108万元、180万元，设30万元最低保障可贷额度为刚需托底。二是购买一星级、二星级、三星级新建绿色住宅，贷款最高额度分别上浮20%、30%、40%。三是购买改善型住宅、参与"以旧换新"活动的贷款最高额度均上浮30%。四是生育二孩、三孩及以上家庭贷款最高额度分别上浮30万元和50万元，人才贷款可享受60万元至160万元梯度上浮。五是绿色建筑、改善型住宅、以旧换新、人才安居、多子女家庭等多项政策均可叠加兑现。六是面向全国开展异地贷款业务，无缴存地、缴存身份限制。</w:t>
      </w:r>
    </w:p>
    <w:p>
      <w:pPr>
        <w:spacing w:after="400" w:before="100" w:line="560" w:lineRule="exact"/>
      </w:pPr>
      <w:r>
        <w:rPr>
          <w:rFonts w:ascii="FangSong_GB2312" w:cs="FangSong_GB2312" w:eastAsia="FangSong_GB2312" w:hAnsi="FangSong_GB2312"/>
          <w:sz w:val="32"/>
          <w:szCs w:val="32"/>
        </w:rPr>
        <w:t xml:space="preserve">（信息来源：新华日报6月24日《破除壁垒，扩围提质！江苏省公积金新政精准润泽安居梦》  http://www.xhby.net/content/s6a3b1c62e4b05b077e348280.html）</w:t>
      </w:r>
    </w:p>
    <w:p>
      <w:pPr>
        <w:spacing w:after="200" w:before="400" w:line="560" w:lineRule="exact"/>
      </w:pPr>
      <w:r>
        <w:rPr>
          <w:rFonts w:ascii="SimHei" w:cs="SimHei" w:eastAsia="SimHei" w:hAnsi="SimHei"/>
          <w:b/>
          <w:bCs/>
          <w:sz w:val="32"/>
          <w:szCs w:val="32"/>
        </w:rPr>
        <w:t xml:space="preserve">4. 优质企业便利化政策全面升级——四川启动跨境贸易高水平开放试点</w:t>
      </w:r>
    </w:p>
    <w:p>
      <w:pPr>
        <w:spacing w:line="560" w:lineRule="exact"/>
        <w:ind w:firstLine="640"/>
      </w:pPr>
      <w:r>
        <w:rPr>
          <w:rFonts w:ascii="FangSong_GB2312" w:cs="FangSong_GB2312" w:eastAsia="FangSong_GB2312" w:hAnsi="FangSong_GB2312"/>
          <w:sz w:val="32"/>
          <w:szCs w:val="32"/>
        </w:rPr>
        <w:t xml:space="preserve">近日，中国人民银行四川省分行、国家外汇管理局四川省分局召开跨境贸易高水平开放试点工作推进会，通报国家外汇管理局将四川省纳入跨境贸易高水平开放试点。试点对省内（含自由贸易试验区）前期实施的优质企业贸易外汇收支便利化试点进行全面升级，旨在为企业提供更加高效、安全、低成本的跨境资金结算服务。试点推出的便利化措施涵盖7项重点内容：一是便利经常项目外汇资金收付。二是优化新型国际贸易结算。三是扩大贸易收支轧差净额结算范围，允许货款与特定经常项目收支、部分服务贸易收支进行轧差净额结算，降低企业财务成本和运营成本。四是货物贸易超期限等特殊退汇业务免于事前登记。五是优化服务贸易项下代垫或分摊业务管理。六是便利优质企业涉外员工薪酬用汇，涉外员工在额度内办理薪酬购付汇或收结汇时无需重复提交证明材料，薪酬发放流程更顺畅，增强四川对外籍人才吸引力。七是简化优质跨国公司经常项目资金集中收付和轧差净额结算手续。相较以前的试点，此次试点在准入条件、业务范围和银行自主权三个维度上显著提升：一是准入条件放宽，高新技术企业、专精特新企业、专精特新"小巨人"企业及国家级制造业单项冠军企业等的准备期由原来的2年压缩至1年，加快企业享受政策红利进程。二是业务范围扩展，成熟的新型离岸国际贸易等新业态新模式被纳入试点支持范围，助力外贸新动能发展。三是银行自主权提升，试点银行可自主确定参与试点网点、试点企业以及试点业务，提升服务灵活性与精准度。对于符合条件的优质企业而言，跨境贸易外汇收支业务实现"秒申请、分钟办"，资金结算效率大幅提升。</w:t>
      </w:r>
    </w:p>
    <w:p>
      <w:pPr>
        <w:spacing w:after="400" w:before="100" w:line="560" w:lineRule="exact"/>
      </w:pPr>
      <w:r>
        <w:rPr>
          <w:rFonts w:ascii="FangSong_GB2312" w:cs="FangSong_GB2312" w:eastAsia="FangSong_GB2312" w:hAnsi="FangSong_GB2312"/>
          <w:sz w:val="32"/>
          <w:szCs w:val="32"/>
        </w:rPr>
        <w:t xml:space="preserve">（信息来源：四川日报6月24日《优质企业便利化政策全面升级》  https://epaper.scdaily.cn/shtml/scrb/20260624/1082405.html）</w:t>
      </w:r>
    </w:p>
    <w:p>
      <w:pPr>
        <w:spacing w:after="200" w:before="400" w:line="560" w:lineRule="exact"/>
      </w:pPr>
      <w:r>
        <w:rPr>
          <w:rFonts w:ascii="SimHei" w:cs="SimHei" w:eastAsia="SimHei" w:hAnsi="SimHei"/>
          <w:b/>
          <w:bCs/>
          <w:sz w:val="32"/>
          <w:szCs w:val="32"/>
        </w:rPr>
        <w:t xml:space="preserve">5. 成都绵阳入选汽车流通消费改革试点城市</w:t>
      </w:r>
    </w:p>
    <w:p>
      <w:pPr>
        <w:spacing w:line="560" w:lineRule="exact"/>
        <w:ind w:firstLine="640"/>
      </w:pPr>
      <w:r>
        <w:rPr>
          <w:rFonts w:ascii="FangSong_GB2312" w:cs="FangSong_GB2312" w:eastAsia="FangSong_GB2312" w:hAnsi="FangSong_GB2312"/>
          <w:sz w:val="32"/>
          <w:szCs w:val="32"/>
        </w:rPr>
        <w:t xml:space="preserve">6月23日，商务部等8部门发布通知，公布汽车流通消费改革试点城市名单，全国40个城市入选，其中四川的成都、绵阳两市入选。成都承担汽车赛事、传统经典车、二手车流通等方向的改革创新，绵阳承担二手车流通改革创新。商务部等9部门同步发布《关于培育壮大汽车后市场消费若干措施的通知》，围绕汽车改装、汽车赛事、房车露营、汽车维修、汽车租赁、传统经典车等后市场领域提出系列对策举措。成都方面具体举措：一是搭建检测评估服务平台，推动检测报告互认，打破二手车流通信息不对称壁垒。二是探索二手车经营主体分类管理模式，对不同类型经营主体实施差异化监管与服务。三是在大型市场、品牌企业设立机动车登记服务站，提高开票、验车、过户、选号一站式联办效率，进一步释放二手车消费潜力。四是深耕"赛事+产业+消费"融合路径，依托天府国际赛道（西南地区唯一同时获国际汽联和国际摩托车运动联合会亚洲区双认证的赛道），丰富赛事矩阵，以赛事流量激活产业增量、以场景创新升级消费业态。五是联动传统经典车企业，持续举办"成都汽车嘉年华"活动，依托三和老爷车博物馆（馆藏近300辆老爷车，涵盖70余个国内外知名汽车品牌），培育传统经典车新业态。六是依托文旅资源，发展自驾定制、汽车营地等后市场消费，擦亮"318从成都出发"等文旅品牌。七是优化交通组织，推广智能红绿灯、智慧停车系统，缓解拥堵与停车难问题。绵阳方面：推行标准化交易合同、建立"一车一档案"管理制度，构建一体化二手车出口服务体系，去年二手车出口额达1.67亿元，同比增长140.7%。国家层面配套措施涵盖6方面17条：一是规范有序发展汽车改装。二是支持发展房车露营产业，优化房车上路通行管理措施。三是培育传统经典车新业态。四是优化汽车维修和保险服务供给。五是积极发展汽车赛事运动，打造若干国家级汽车运动消费场所。六是推广"异地还车""以租代购"等多元化服务模式，创新探索"车电分离"等保险模式。</w:t>
      </w:r>
    </w:p>
    <w:p>
      <w:pPr>
        <w:spacing w:after="400" w:before="100" w:line="560" w:lineRule="exact"/>
      </w:pPr>
      <w:r>
        <w:rPr>
          <w:rFonts w:ascii="FangSong_GB2312" w:cs="FangSong_GB2312" w:eastAsia="FangSong_GB2312" w:hAnsi="FangSong_GB2312"/>
          <w:sz w:val="32"/>
          <w:szCs w:val="32"/>
        </w:rPr>
        <w:t xml:space="preserve">（信息来源：四川日报6月24日《成都绵阳入选汽车流通消费改革试点城市》  https://epaper.scdaily.cn/shtml/scrb/20260624/1082404.html）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2026-06-24T00:09:51.720Z</dcterms:created>
  <dcterms:modified xsi:type="dcterms:W3CDTF">2026-06-24T00:09:51.721Z</dcterms:modified>
</cp:coreProperties>
</file>

<file path=docProps/custom.xml><?xml version="1.0" encoding="utf-8"?>
<Properties xmlns="http://schemas.openxmlformats.org/officeDocument/2006/custom-properties" xmlns:vt="http://schemas.openxmlformats.org/officeDocument/2006/docPropsVTypes"/>
</file>