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 w:line="56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媒体信息摘报</w:t>
      </w:r>
    </w:p>
    <w:p>
      <w:pPr>
        <w:spacing w:after="400" w:line="560"/>
        <w:jc w:val="center"/>
      </w:pPr>
      <w:r>
        <w:rPr>
          <w:rFonts w:ascii="仿宋_GB2312" w:cs="仿宋_GB2312" w:eastAsia="仿宋_GB2312" w:hAnsi="仿宋_GB2312"/>
          <w:sz w:val="32"/>
          <w:szCs w:val="32"/>
        </w:rPr>
        <w:t xml:space="preserve">2026年6月11日</w:t>
      </w:r>
    </w:p>
    <w:p>
      <w:pPr>
        <w:spacing w:after="200" w:line="560"/>
      </w:pPr>
      <w:r>
        <w:rPr>
          <w:rFonts w:ascii="仿宋_GB2312" w:cs="仿宋_GB2312" w:eastAsia="仿宋_GB2312" w:hAnsi="仿宋_GB2312"/>
          <w:sz w:val="32"/>
          <w:szCs w:val="32"/>
        </w:rPr>
        <w:t xml:space="preserve">————————————————————————</w:t>
      </w:r>
    </w:p>
    <w:p>
      <w:pPr>
        <w:spacing w:after="150" w:before="300" w:line="5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一、国家发改委推广浦东深圳厦门41条综合改革试点经验举措</w:t>
      </w:r>
    </w:p>
    <w:p>
      <w:pPr>
        <w:spacing w:after="100" w:before="100" w:line="560"/>
        <w:ind w:firstLine="640"/>
      </w:pPr>
      <w:r>
        <w:rPr>
          <w:rFonts w:ascii="仿宋_GB2312" w:cs="仿宋_GB2312" w:eastAsia="仿宋_GB2312" w:hAnsi="仿宋_GB2312"/>
          <w:sz w:val="32"/>
          <w:szCs w:val="32"/>
        </w:rPr>
        <w:t xml:space="preserve">国家发改委总结推广上海浦东新区、深圳、厦门综合改革试点41条创新举措，为全国深化改革提供制度范本。一是实行新兴行业经营范围目录制度，基于城市产业发展规划编制新兴行业经营范围目录，供新兴行业企业选择经营范围，并探索登记端涉企政策主题推送，汇集低空经济、超高清视频显示等重点行业和领域相关政策，通过「电子营业执照」系统向新设立企业精准推送。二是建立人工智能应用场景清单制度，制定应用场景机会清单，开放多批「城市+人工智能」场景，打造「数据+场景」联合创新生态，推动AI技术在医疗、制造等领域的深度应用。三是创新人才发展机制，推动新兴领域教育与产业发展深度融合，建立高层次人才「事业编制周转池」制度，健全终身职业技能培训体系，破解人才供需结构性矛盾。四是优化城市更新和要素保障，推进低效工业用地搬迁补偿和集约利用，构建土地空间立体化开发利用全链条管理制度，推进基于BIM的登记确权与空间分层利用，推进数字人民币场景化应用。五是扩大自主开放和贸易创新，构建「海空一体」复合型口岸通关模式，创新离境退税退付模式，优化民生保障和政务服务，创设全过程无介质、零费用、零跑动的登记注册电子签名制度。</w:t>
      </w:r>
    </w:p>
    <w:p>
      <w:pPr>
        <w:spacing w:after="200" w:before="80" w:line="560"/>
        <w:jc w:val="right"/>
      </w:pPr>
      <w:r>
        <w:rPr>
          <w:rFonts w:ascii="仿宋_GB2312" w:cs="仿宋_GB2312" w:eastAsia="仿宋_GB2312" w:hAnsi="仿宋_GB2312"/>
          <w:i/>
          <w:iCs/>
          <w:color w:val="666666"/>
          <w:sz w:val="28"/>
          <w:szCs w:val="28"/>
        </w:rPr>
        <w:t xml:space="preserve">来源：人民日报海外版/新浪财经 6月5-6日</w:t>
      </w:r>
    </w:p>
    <w:p>
      <w:pPr>
        <w:spacing w:after="150" w:before="300" w:line="5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二、八部门联合印发《都市圈城际通勤效率提升工程实施方案》</w:t>
      </w:r>
    </w:p>
    <w:p>
      <w:pPr>
        <w:spacing w:after="100" w:before="100" w:line="560"/>
        <w:ind w:firstLine="640"/>
      </w:pPr>
      <w:r>
        <w:rPr>
          <w:rFonts w:ascii="仿宋_GB2312" w:cs="仿宋_GB2312" w:eastAsia="仿宋_GB2312" w:hAnsi="仿宋_GB2312"/>
          <w:sz w:val="32"/>
          <w:szCs w:val="32"/>
        </w:rPr>
        <w:t xml:space="preserve">交通运输部、国家发改委等八部门联合印发《都市圈城际通勤效率提升工程实施方案（2026—2030年）》，以形成1小时通勤圈为目标推进都市圈交通变革。一是打造城际综合通勤廊道，针对骨干通勤廊道科学配置多层次轨道交通体系，统筹利用市域（郊）铁路、城际铁路、干线铁路等设施提供通勤服务，构建「轨道交通为主体、高快速路为基础」的通勤模式；针对基础通勤廊道优先利用既有铁路富余能力开行通勤服务列车，发展快速公交、定制公交、通勤包车等服务，开通毗邻城市间公交线路。二是优化枢纽通勤服务功能，鼓励有条件的铁路、机场等综合客运枢纽布设市域（郊）铁路和城市轨道交通，开辟服务通勤的快速进出站通道，推动售检票系统、换乘通道、安检设备等改造升级，提供「一票制、一码通」「闸机常开门」等便民服务。三是提升智慧出行保障能力，利用大数据、智能识别等技术优化安检流程，建设快速票务、无感安检、出行引导等系统，构建需求精准预测、多方式智能调控的都市圈智能综合立体交通网，开展骨干路网智能管控等创新示范。方案提出到2029年主要都市圈1小时通勤条件人口覆盖率达73%，到2030年达75%。</w:t>
      </w:r>
    </w:p>
    <w:p>
      <w:pPr>
        <w:spacing w:after="200" w:before="80" w:line="560"/>
        <w:jc w:val="right"/>
      </w:pPr>
      <w:r>
        <w:rPr>
          <w:rFonts w:ascii="仿宋_GB2312" w:cs="仿宋_GB2312" w:eastAsia="仿宋_GB2312" w:hAnsi="仿宋_GB2312"/>
          <w:i/>
          <w:iCs/>
          <w:color w:val="666666"/>
          <w:sz w:val="28"/>
          <w:szCs w:val="28"/>
        </w:rPr>
        <w:t xml:space="preserve">来源：交通运输部官网 6月10日</w:t>
      </w:r>
    </w:p>
    <w:p>
      <w:pPr>
        <w:spacing w:after="150" w:before="300" w:line="5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三、新一轮国资国企改革全面启航：新兴产业布局与战略性重组成主线</w:t>
      </w:r>
    </w:p>
    <w:p>
      <w:pPr>
        <w:spacing w:after="100" w:before="100" w:line="560"/>
        <w:ind w:firstLine="640"/>
      </w:pPr>
      <w:r>
        <w:rPr>
          <w:rFonts w:ascii="仿宋_GB2312" w:cs="仿宋_GB2312" w:eastAsia="仿宋_GB2312" w:hAnsi="仿宋_GB2312"/>
          <w:sz w:val="32"/>
          <w:szCs w:val="32"/>
        </w:rPr>
        <w:t xml:space="preserve">《关于进一步深化国资国企改革的方案（2026—2029年）》正式下发，新一轮国企改革以布局优化和结构性调整为主线全面启航。一是聚焦主责主业优化布局，央企聚焦服务国家战略，在关系国家安全和命脉的关键领域发挥「压舱石」作用，以「链主」地位带动产业链上下游协同；地方国企结合自身资源禀赋和产业基础制定差异化改革路径，紧密贴合本地发展需求推进改革。二是推进专业化整合与战略性重组，重组核心评判标准为「能否补强国家战略短板、引领产业升级」，重点推进同类业务横向整合化解同质化竞争、产业链上下游纵向整合解决重复建设问题。三是加快培育新质生产力，重点布局战略性新兴产业，推进「产业焕新」「未来产业启航」「人工智能+」三大专项行动，聚焦新一代信息技术、新能源、新材料、低空经济、航空航天、量子信息、氢能与核聚变、脑机接口等前沿领域，带动孵化「专精特新」企业。目前河南、湖北、山东、重庆等多地已相继召开深化国资国企改革工作会议，结合自身特点出台差异化「施工图」。</w:t>
      </w:r>
    </w:p>
    <w:p>
      <w:pPr>
        <w:spacing w:after="200" w:before="80" w:line="560"/>
        <w:jc w:val="right"/>
      </w:pPr>
      <w:r>
        <w:rPr>
          <w:rFonts w:ascii="仿宋_GB2312" w:cs="仿宋_GB2312" w:eastAsia="仿宋_GB2312" w:hAnsi="仿宋_GB2312"/>
          <w:i/>
          <w:iCs/>
          <w:color w:val="666666"/>
          <w:sz w:val="28"/>
          <w:szCs w:val="28"/>
        </w:rPr>
        <w:t xml:space="preserve">来源：新华网/经济日报 6月1日</w:t>
      </w:r>
    </w:p>
    <w:p>
      <w:pPr>
        <w:spacing w:after="150" w:before="300" w:line="5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四、国务院印发《城市更新「十五五」规划》：首部国家级城市更新专项规划</w:t>
      </w:r>
    </w:p>
    <w:p>
      <w:pPr>
        <w:spacing w:after="100" w:before="100" w:line="560"/>
        <w:ind w:firstLine="640"/>
      </w:pPr>
      <w:r>
        <w:rPr>
          <w:rFonts w:ascii="仿宋_GB2312" w:cs="仿宋_GB2312" w:eastAsia="仿宋_GB2312" w:hAnsi="仿宋_GB2312"/>
          <w:sz w:val="32"/>
          <w:szCs w:val="32"/>
        </w:rPr>
        <w:t xml:space="preserve">国务院印发《城市更新「十五五」规划》，这是我国城市更新领域首部国家级专项规划，设置10项主要指标、23项重点任务、7方面政策举措和14项重大工程。一是推进民生工程提升居住品质，新开工改造城镇老旧小区11.5万个，同步改造燃气、供水、热力、道路等配套基础设施；对5000个社区开展完整社区建设改造，完善养老、托育等公共服务设施；实施1500个老旧街区、厂区改造提升，优化城市路网结构补齐停车设施短板。二是推进发展工程盘活存量资源，支持老旧厂房、闲置楼宇等存量空间功能转型，为文创、养老、新产业等新业态发展创造条件。三是推进安全工程增强城市韧性，重点推进危旧房和城中村改造，「十五五」期间改造城市地下管网约77万公里，通过数字化手段对基础设施运行状况实时监测、动态预警。四是创新要素保障机制，2026年中央预算内投资城市更新专项安排970亿元惠及约800万户，超长期特别国债安排1600亿元支持地下管网改造；对老旧厂房转型文创养老等产业给予5年过渡期，期间暂不变更用地性质、无需补缴土地价款。</w:t>
      </w:r>
    </w:p>
    <w:p>
      <w:pPr>
        <w:spacing w:after="200" w:before="80" w:line="560"/>
        <w:jc w:val="right"/>
      </w:pPr>
      <w:r>
        <w:rPr>
          <w:rFonts w:ascii="仿宋_GB2312" w:cs="仿宋_GB2312" w:eastAsia="仿宋_GB2312" w:hAnsi="仿宋_GB2312"/>
          <w:i/>
          <w:iCs/>
          <w:color w:val="666666"/>
          <w:sz w:val="28"/>
          <w:szCs w:val="28"/>
        </w:rPr>
        <w:t xml:space="preserve">来源：光明日报/央视新闻 6月9日</w:t>
      </w:r>
    </w:p>
    <w:p>
      <w:pPr>
        <w:spacing w:after="150" w:before="300" w:line="5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五、工信部与国资委联合开展人形机器人与具身智能实景实训专项行动</w:t>
      </w:r>
    </w:p>
    <w:p>
      <w:pPr>
        <w:spacing w:after="100" w:before="100" w:line="560"/>
        <w:ind w:firstLine="640"/>
      </w:pPr>
      <w:r>
        <w:rPr>
          <w:rFonts w:ascii="仿宋_GB2312" w:cs="仿宋_GB2312" w:eastAsia="仿宋_GB2312" w:hAnsi="仿宋_GB2312"/>
          <w:sz w:val="32"/>
          <w:szCs w:val="32"/>
        </w:rPr>
        <w:t xml:space="preserve">工业和信息化部与国务院国资委联合印发通知，启动2026年度人形机器人与具身智能实景实训专项行动，推动人形机器人从「表演秀场」向「作业模式」转变。一是打造标准化实景实训空间，告别单一模拟环境，搭建多样化真实作业场地，要求参与省市选取不少于20个场景、央企选取不少于10个场景建设「实战训练场」，涵盖工业制造、民生服务、特种作业三大方向，包括生产装配、仓储物流、医疗康养、应急救援、防灾减灾等领域。二是组建创新应用联合体，以用户单位和整机企业为主体，联合模型算法企业、零部件供应链企业、科研院所等协同推进技术落地与场景适配，打破单打独斗局面。三是攻关实用化作业技能，推动机器人从「功夫模式」转向「作业模式」，在真实岗位中打磨实用技能包、优化智能算法、积累海量实景数据。四是推动成熟方案快速复制推广，实现「验证一个、部署一批、带动一片」。专项行动覆盖北京、上海、广东、四川等十个省市及多家央企，目标到2026年底打造百个以上高价值应用场景，形成万台级机器人规模化落地能力。</w:t>
      </w:r>
    </w:p>
    <w:p>
      <w:pPr>
        <w:spacing w:after="200" w:before="80" w:line="560"/>
        <w:jc w:val="right"/>
      </w:pPr>
      <w:r>
        <w:rPr>
          <w:rFonts w:ascii="仿宋_GB2312" w:cs="仿宋_GB2312" w:eastAsia="仿宋_GB2312" w:hAnsi="仿宋_GB2312"/>
          <w:i/>
          <w:iCs/>
          <w:color w:val="666666"/>
          <w:sz w:val="28"/>
          <w:szCs w:val="28"/>
        </w:rPr>
        <w:t xml:space="preserve">来源：国际科技创新中心网/工信部 6月9-10日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2026-06-11T00:22:52.439Z</dcterms:created>
  <dcterms:modified xsi:type="dcterms:W3CDTF">2026-06-11T00:22:52.439Z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