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560" w:after="240" w:before="0"/>
        <w:ind w:firstLine="0"/>
        <w:jc w:val="center"/>
      </w:pPr>
      <w:r>
        <w:rPr>
          <w:rFonts w:ascii="黑体" w:hAnsi="黑体" w:eastAsia="黑体"/>
          <w:b/>
          <w:sz w:val="32"/>
        </w:rPr>
        <w:t>10月14日媒体信息摘报</w:t>
      </w:r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1．山东锚定“人工智能+制造”主赛道 以垂直大模型“专而精”推动产业落地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山东省立足工业门类齐全比较优势，锚定“人工智能+制造”主赛道，走垂直领域大模型“专而精”发展路线，以清单化治理推动AI深度嵌入产业腹地。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发布“双百清单”明确主攻方向。今年7月公布首批100个重点建设“AI+制造”应用场景和100个重点推广垂直领域大模型名单，从面向16市征集的千余个选项中筛出，聚焦行业痛点与企业转型诉求，具备跨企业推广价值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二是省级财政资金精准滴灌。省财政三年统筹引导超100亿元投向人工智能赋能制造业领域，设立“模型券”支持垂直领域大模型研发、“场景券”支持智能制造标杆项目落地，改变“撒胡椒面”式扶持。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建立“揭榜挂帅+赛马”机制。摸排19条标志性产业链，梳理六大生产环节、18类高价值工业场景对外发布需求清单，允许多家团队、多条技术路线并行进场、同一场景方案PK，按落地成效分档奖补，优胜留存、落后者退出。</w:t>
      </w:r>
      <w:r>
        <w:br/>
      </w:r>
      <w:r>
        <w:rPr>
          <w:rFonts w:ascii="仿宋_GB2312" w:hAnsi="仿宋_GB2312" w:eastAsia="仿宋_GB2312"/>
          <w:b w:val="0"/>
          <w:sz w:val="32"/>
        </w:rPr>
        <w:t>四是构建公共底座与生态协同。依托工信部智算云服务试点、国家人工智能应用中试基地等高能级平台，整合算力供给、数据治理、模型训练、安全管理于一体的创新服务体系；截至今年9月已产生122个工业大模型，实现41个工业大类全覆盖，建成产业大脑130个、晨星工厂5657家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（信息来源：大众日报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原文标题及链接：不追“通用”风口，山东大模型为何一头扎进矿井和码头？</w:t>
      </w:r>
    </w:p>
    <w:p>
      <w:pPr>
        <w:spacing w:lineRule="exact" w:line="560" w:after="200" w:before="0"/>
        <w:ind w:firstLine="0"/>
      </w:pPr>
      <w:hyperlink r:id="rId9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https://www.toutiao.com/article/7696298020459135488/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2．浙江台州以数智技术赋能传统缝制设备 探索“老树发新芽”升级路径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浙江台州作为“中国缝制设备制造之都”，将前沿技术融入传统产线，探索传统产业数智焕新、集群出海的升级路径，印证新质生产力可在传统产业沃土中生根。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智能装备重塑产品竞争力。当地企业自研芯片自动识别面料厚薄，搭载AI视觉系统精准捕捉手势，人形机器人独立完成均匀走线，“快反王”设备使工作效率提升30%，推动缝纫机从“铁疙瘩”升级为“智能终端”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二是全产业链协同构筑集群优势。台州聚集1500多家缝制装备相关企业，覆盖整机、零部件到数字化系统，形成完整产业生态，从卖产品转向卖解决方案、从输出硬件转向打包软件，激活“集群出海”新动能。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三是强化新质生产力认知导向。当地坚持将技术“揉”进传统产线，证明传统产业是新质生产力的土壤而非“绝缘体”，避免断裂式“弃旧图新”，以融合式“向新而行”锻造不可替代的竞争优势。</w:t>
      </w:r>
      <w:r>
        <w:br/>
      </w:r>
      <w:r>
        <w:rPr>
          <w:rFonts w:ascii="仿宋_GB2312" w:hAnsi="仿宋_GB2312" w:eastAsia="仿宋_GB2312"/>
          <w:b w:val="0"/>
          <w:sz w:val="32"/>
        </w:rPr>
        <w:t>台州每年近400万台缝制设备销往100多个国家和地区；2026年上半年中国缝制机械产品累计出口额20.53亿美元，同比增长2.69%。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（信息来源：浙江日报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原文标题及链接：把新技术“缝”进传统产业中</w:t>
      </w:r>
    </w:p>
    <w:p>
      <w:pPr>
        <w:spacing w:lineRule="exact" w:line="560" w:after="200" w:before="0"/>
        <w:ind w:firstLine="0"/>
      </w:pPr>
      <w:hyperlink r:id="rId10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https://www.toutiao.com/article/7696297626832011839/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3．江苏发挥“一带一路”交汇点优势 推动企业从“产品出海”向“全链出海”跃升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江苏发挥“一带一路”交汇点优势，在贸易往来、产能合作、综合服务三个维度持续深耕，推动开放型经济从“产品出海”向“品牌出海”“全链出海”跃升。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搭建双向贸易平台畅通渠道。落地中国—中亚贸易畅通合作平台，设立江苏中亚中心与中亚江苏中心，组织“江苏优品行全球”“江苏品牌产品丝路行”等贸易促进活动，支持企业触网升级、用好跨境电商开拓国际市场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推动产能合作从单点向链条输出。建设中阿（联酋）产能合作示范园、苏锡常国际产能合作示范城市，支持徐工集团等企业在共建国家设立研发中心与产品经理队伍，实现从销售产品到产业链、供应链、价值链整体输出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政策服务从“企业找政策”转向“政策找企业”。出台外贸稳增长22条、稳外贸稳就业12条、稳外资22条，在全国率先编制《企业内外贸一体化标准衔接指南》；建立政企月度对接机制与“全程相伴”江苏走出去综合服务平台，提供项目备案、法律咨询、风险预警等线上服务。</w:t>
      </w:r>
      <w:r>
        <w:br/>
      </w:r>
      <w:r>
        <w:rPr>
          <w:rFonts w:ascii="仿宋_GB2312" w:hAnsi="仿宋_GB2312" w:eastAsia="仿宋_GB2312"/>
          <w:b w:val="0"/>
          <w:sz w:val="32"/>
        </w:rPr>
        <w:t>今年前7个月，江苏对共建“一带一路”国家进出口2.22万亿元，增长35.2%，占全省进出口比重提升至53.2%。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（信息来源：新华日报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原文标题及链接：苏企全球化新叙事：单点突破到全链出海</w:t>
      </w:r>
    </w:p>
    <w:p>
      <w:pPr>
        <w:spacing w:lineRule="exact" w:line="560" w:after="200" w:before="0"/>
        <w:ind w:firstLine="0"/>
      </w:pPr>
      <w:hyperlink r:id="rId11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https://xh.xhby.net/pc/con/202610/14/content_1596932.html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4．陕西“专精特新”专板咸阳专区上线 探索资本市场服务下沉新模式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陕西“专精特新”专板咸阳专区近日上线，系全省首个地市专属专区，创新探索资本市场服务下沉、精准赋能地市产业发展的新模式。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一是明确平台核心功能定位。专板由陕西股权交易中心建设运营，确立“政策汇聚、资本对接、规范培育、上市孵化”四大核心功能，为专精特新企业提供高水平、全方位的上市孵化培育服务。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实现资本市场服务属地化下沉。咸阳专区由咸阳市工信局、金融协调服务中心主办，陕西股权交易中心、民生银行咸阳分行承办，让区域内专精特新企业“足不出户”即可对接资本市场，打通融资与规范培育“最后一公里”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三是形成可复制的分层服务体系。该专区为各市搭建属地化企业培育平台、完善分层服务体系发挥示范引领作用，助力咸阳市深化国家产融合作试点城市建设，服务“十五五”工业经济高质量发展。</w:t>
      </w:r>
      <w:r>
        <w:br/>
      </w:r>
      <w:r>
        <w:rPr>
          <w:rFonts w:ascii="仿宋_GB2312" w:hAnsi="仿宋_GB2312" w:eastAsia="仿宋_GB2312"/>
          <w:b w:val="0"/>
          <w:sz w:val="32"/>
        </w:rPr>
        <w:t>咸阳专区于10月10日举办上线暨企业挂牌仪式；陕西股权交易中心为省内唯一合法的区域性股权市场运营机构。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（信息来源：陕西日报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原文标题及链接：陕西“专精特新”专板咸阳专区上线</w:t>
      </w:r>
    </w:p>
    <w:p>
      <w:pPr>
        <w:spacing w:lineRule="exact" w:line="560" w:after="200" w:before="0"/>
        <w:ind w:firstLine="0"/>
      </w:pPr>
      <w:hyperlink r:id="rId12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https://k.sina.com.cn/article_7517400647_1c0126e4705909c3jk.html</w:t>
        </w:r>
      </w:hyperlink>
    </w:p>
    <w:p>
      <w:pPr>
        <w:spacing w:lineRule="exact" w:line="560" w:after="80" w:before="0"/>
        <w:ind w:firstLine="0"/>
      </w:pPr>
      <w:r>
        <w:rPr>
          <w:rFonts w:ascii="黑体" w:hAnsi="黑体" w:eastAsia="黑体"/>
          <w:b/>
          <w:sz w:val="32"/>
        </w:rPr>
        <w:t>5．广州印发“园区贷”实施方案 打造可复制园区金融服务样板</w:t>
      </w:r>
    </w:p>
    <w:p>
      <w:pPr>
        <w:spacing w:lineRule="exact" w:line="560" w:after="120" w:before="0"/>
        <w:ind w:firstLine="480"/>
      </w:pPr>
      <w:r>
        <w:rPr>
          <w:rFonts w:ascii="仿宋_GB2312" w:hAnsi="仿宋_GB2312" w:eastAsia="仿宋_GB2312"/>
          <w:b w:val="0"/>
          <w:sz w:val="32"/>
        </w:rPr>
        <w:t>广州市委金融办等部门联合印发《广州推行“园区贷”实施方案》，围绕四大方向提出10项任务，聚合金融资源为培育新质生产力、建设现代化产业体系注入动能。</w:t>
      </w:r>
      <w:r>
        <w:br/>
      </w:r>
      <w:r>
        <w:rPr>
          <w:rFonts w:ascii="仿宋_GB2312" w:hAnsi="仿宋_GB2312" w:eastAsia="仿宋_GB2312"/>
          <w:b w:val="0"/>
          <w:sz w:val="32"/>
        </w:rPr>
        <w:t>一是突出主办银行牵头作用。推动积极性高、产业金融服务能力强的银行作为产业园区主办银行，量身定制专项金融服务方案，优化科技支行等特色机构布局，落实尽职免责、合理设定风险容忍度，组建“懂金融又懂产业”的专业服务团队。</w:t>
      </w:r>
      <w:r>
        <w:br/>
      </w:r>
      <w:r>
        <w:rPr>
          <w:rFonts w:ascii="仿宋_GB2312" w:hAnsi="仿宋_GB2312" w:eastAsia="仿宋_GB2312"/>
          <w:b w:val="0"/>
          <w:sz w:val="32"/>
        </w:rPr>
        <w:t>二是构建“贷股债担保租”六位一体体系。由主办银行联合基金、投资机构、证券公司等非银机构及园区运营方，分层分类匹配企业不同成长阶段金融需求，探索投贷联动、打造“股贷保”组合产品，依托广东区域性股权市场推广“认股权+园区”模式。</w:t>
      </w:r>
      <w:r>
        <w:br/>
      </w:r>
      <w:r>
        <w:rPr>
          <w:rFonts w:ascii="仿宋_GB2312" w:hAnsi="仿宋_GB2312" w:eastAsia="仿宋_GB2312"/>
          <w:b w:val="0"/>
          <w:sz w:val="32"/>
        </w:rPr>
        <w:t>三是数据赋能破解轻资产融资难。依托广州市“信易贷”等平台，在依法合规与企业授权前提下推动园区企业经营管理、研发投入、知识产权等信息共享，推动信贷理念从侧重固定资产抵押的“看砖头”向“看人头”“看势头”转变。</w:t>
      </w:r>
      <w:r>
        <w:br/>
      </w:r>
      <w:r>
        <w:rPr>
          <w:rFonts w:ascii="仿宋_GB2312" w:hAnsi="仿宋_GB2312" w:eastAsia="仿宋_GB2312"/>
          <w:b w:val="0"/>
          <w:sz w:val="32"/>
        </w:rPr>
        <w:t>该方案为2025年4月推出的“益企共赢计划”进园区延伸，截至2026年9月末该计划累计签约企业超1600户、金额超560亿元。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（信息来源：南方都市报 2026年10月14日）</w:t>
      </w:r>
    </w:p>
    <w:p>
      <w:pPr>
        <w:spacing w:lineRule="exact" w:line="560" w:after="0" w:before="0"/>
        <w:ind w:firstLine="0"/>
      </w:pPr>
      <w:r>
        <w:rPr>
          <w:rFonts w:ascii="仿宋_GB2312" w:hAnsi="仿宋_GB2312" w:eastAsia="仿宋_GB2312"/>
          <w:b w:val="0"/>
          <w:sz w:val="32"/>
        </w:rPr>
        <w:t>原文标题及链接：四大方向10项任务赋能发展</w:t>
      </w:r>
    </w:p>
    <w:p>
      <w:pPr>
        <w:spacing w:lineRule="exact" w:line="560" w:after="200" w:before="0"/>
        <w:ind w:firstLine="0"/>
      </w:pPr>
      <w:hyperlink r:id="rId13">
        <w:r>
          <w:rPr>
            <w:rStyle w:val="Hyperlink"/>
            <w:rFonts w:eastAsia="仿宋_GB2312" w:ascii="仿宋_GB2312" w:hAnsi="仿宋_GB2312"/>
            <w:sz w:val="32"/>
            <w:szCs w:val="32"/>
            <w:color w:val="0563C1"/>
          </w:rPr>
          <w:t xml:space="preserve">https://epaper.oeeee.com/epaper/G/html/2026-10/14/content_8936.htm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outiao.com/article/7696298020459135488/" TargetMode="External"/><Relationship Id="rId10" Type="http://schemas.openxmlformats.org/officeDocument/2006/relationships/hyperlink" Target="https://www.toutiao.com/article/7696297626832011839/" TargetMode="External"/><Relationship Id="rId11" Type="http://schemas.openxmlformats.org/officeDocument/2006/relationships/hyperlink" Target="https://xh.xhby.net/pc/con/202610/14/content_1596932.html" TargetMode="External"/><Relationship Id="rId12" Type="http://schemas.openxmlformats.org/officeDocument/2006/relationships/hyperlink" Target="https://k.sina.com.cn/article_7517400647_1c0126e4705909c3jk.html" TargetMode="External"/><Relationship Id="rId13" Type="http://schemas.openxmlformats.org/officeDocument/2006/relationships/hyperlink" Target="https://epaper.oeeee.com/epaper/G/html/2026-10/14/content_893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