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560" w:lineRule="exact"/>
        <w:jc w:val="center"/>
      </w:pPr>
      <w:r>
        <w:rPr>
          <w:rFonts w:ascii="SimHei" w:cs="SimHei" w:eastAsia="SimHei" w:hAnsi="SimHei"/>
          <w:b/>
          <w:bCs/>
          <w:sz w:val="44"/>
          <w:szCs w:val="44"/>
        </w:rPr>
        <w:t xml:space="preserve">媒体信息摘报</w:t>
      </w:r>
    </w:p>
    <w:p>
      <w:pPr>
        <w:spacing w:after="200" w:before="0" w:line="560" w:lineRule="exact"/>
        <w:jc w:val="center"/>
      </w:pPr>
      <w:r>
        <w:rPr>
          <w:rFonts w:ascii="FangSong_GB2312" w:cs="FangSong_GB2312" w:eastAsia="FangSong_GB2312" w:hAnsi="FangSong_GB2312"/>
          <w:sz w:val="32"/>
          <w:szCs w:val="32"/>
        </w:rPr>
        <w:t xml:space="preserve">2026年7月28日</w:t>
      </w:r>
    </w:p>
    <w:p>
      <w:pPr>
        <w:spacing w:after="200" w:before="200" w:line="560" w:lineRule="exact"/>
        <w:ind w:firstLine="640"/>
      </w:pPr>
      <w:r>
        <w:rPr>
          <w:rFonts w:ascii="FangSong_GB2312" w:cs="FangSong_GB2312" w:eastAsia="FangSong_GB2312" w:hAnsi="FangSong_GB2312"/>
          <w:sz w:val="32"/>
          <w:szCs w:val="32"/>
        </w:rPr>
        <w:t xml:space="preserve">本期摘报精选5条省级党报经济·科技·消费类新闻（福建省除外），聚焦各地创新举措与可借鉴做法，供决策参考。</w:t>
      </w:r>
    </w:p>
    <w:p>
      <w:pPr>
        <w:spacing w:after="200" w:before="400" w:line="560" w:lineRule="exact"/>
      </w:pPr>
      <w:r>
        <w:rPr>
          <w:rFonts w:ascii="SimHei" w:cs="SimHei" w:eastAsia="SimHei" w:hAnsi="SimHei"/>
          <w:b/>
          <w:bCs/>
          <w:sz w:val="32"/>
          <w:szCs w:val="32"/>
        </w:rPr>
        <w:t xml:space="preserve">1. 让AI从“听懂”走向“做到”</w:t>
      </w:r>
    </w:p>
    <w:p>
      <w:pPr>
        <w:spacing w:line="560" w:lineRule="exact"/>
        <w:ind w:firstLine="640"/>
      </w:pPr>
      <w:r>
        <w:rPr>
          <w:rFonts w:ascii="FangSong_GB2312" w:cs="FangSong_GB2312" w:eastAsia="FangSong_GB2312" w:hAnsi="FangSong_GB2312"/>
          <w:sz w:val="32"/>
          <w:szCs w:val="32"/>
        </w:rPr>
        <w:t xml:space="preserve">珠海市以“政策＋技术”双轮驱动推动人工智能赋能制造业，本土企业金智维打造“AI数字员工＋企业级智能体”解决方案，打通企业数字化转型堵点。一是出台专项行动方案强化政策供给。《珠海市人工智能赋能制造业高质量发展行动方案（2026—2028年）》将工业智能体培育列为八大重点行动之一，通过“模型券”降低企业用模成本，每年新遴选不超过五个联合创新项目、每个最高奖补八十万元，到二〇二八年推动二十个以上工业智能体在制造业深度应用、挖掘三十个以上“人工智能＋先进制造”应用场景。二是以数字员工重塑人机协同模式。金智维超一百八十万名AI数字员工服务一千三百余家企业客户，实现从“按规则执行”到“按目标完成工作”升级，无需改造原有系统即可打通跨系统业务流程。三是以技术攻关降低部署门槛。其KV-Ground方案在全球高精度界面定位评测榜单包揽前两名，小参数模型取得七十六点四分，大幅降低企业算力需求和部署成本。四是以“受监督智能体”保障安全可控。通过知识约束、权限管理、流程校验、人工审核、全流程日志审计等机制，采用“构建态与执行态双轨并行”逻辑破解大模型“幻觉”问题，为金融、政务等高合规行业智能化转型提供可复制经验。</w:t>
      </w:r>
    </w:p>
    <w:p>
      <w:pPr>
        <w:spacing w:after="400" w:before="100" w:line="560" w:lineRule="exact"/>
      </w:pPr>
      <w:r>
        <w:rPr>
          <w:rFonts w:ascii="FangSong_GB2312" w:cs="FangSong_GB2312" w:eastAsia="FangSong_GB2312" w:hAnsi="FangSong_GB2312"/>
          <w:sz w:val="32"/>
          <w:szCs w:val="32"/>
        </w:rPr>
        <w:t xml:space="preserve">（信息来源：南方日报7月28日《让AI从“听懂”走向“做到”》  https://epaper.nfnews.com/nfdaily/html/202607/28/content_10176980.html）</w:t>
      </w:r>
    </w:p>
    <w:p>
      <w:pPr>
        <w:spacing w:after="200" w:before="400" w:line="560" w:lineRule="exact"/>
      </w:pPr>
      <w:r>
        <w:rPr>
          <w:rFonts w:ascii="SimHei" w:cs="SimHei" w:eastAsia="SimHei" w:hAnsi="SimHei"/>
          <w:b/>
          <w:bCs/>
          <w:sz w:val="32"/>
          <w:szCs w:val="32"/>
        </w:rPr>
        <w:t xml:space="preserve">2. “首店矩阵”开门迎客</w:t>
      </w:r>
    </w:p>
    <w:p>
      <w:pPr>
        <w:spacing w:line="560" w:lineRule="exact"/>
        <w:ind w:firstLine="640"/>
      </w:pPr>
      <w:r>
        <w:rPr>
          <w:rFonts w:ascii="FangSong_GB2312" w:cs="FangSong_GB2312" w:eastAsia="FangSong_GB2312" w:hAnsi="FangSong_GB2312"/>
          <w:sz w:val="32"/>
          <w:szCs w:val="32"/>
        </w:rPr>
        <w:t xml:space="preserve">广东省探索“交通＋商业”融合新路径，广澳高速广珠段中山服务区西区于七月二十七日投入运营，打造广东高速公路服务区首个成规模的“首店矩阵”。一是高标准设计建设消费空间。服务区由何镜堂院士团队设计，融合岭南水乡风韵与智慧科技，位于中山市民众街道，日均车流量近九千车次，客流量可达二点七万人次。二是集聚首店品牌资源。服务区引入十一家首店品牌，其中全国首店六家、全省首店五家，涵盖中免集团国际奢品集合店、广东省博物馆国潮文创店等门店，构建“精品＋非遗＋国潮＋潮玩”消费场景。三是创新免税同价运营模式。中免集团国际奢品集合店是该集团在全国服务区布局的首家门店，创新采用“有税经营、免税同价”运营模式，消费者无需出境即可享受与海南免税店同等价格，就近选购全球一线美妆香化、名牌酒水等产品。四是激活高速通道流量价值。以首店经济承接高速公路庞大车流客流，推动服务区从单一交通配套设施向文旅商综合消费目的地转型，把过境流量转化为消费增量，为各地高速公路服务区商业升级和消费扩容提供了可复制、可推广的样本。</w:t>
      </w:r>
    </w:p>
    <w:p>
      <w:pPr>
        <w:spacing w:after="400" w:before="100" w:line="560" w:lineRule="exact"/>
      </w:pPr>
      <w:r>
        <w:rPr>
          <w:rFonts w:ascii="FangSong_GB2312" w:cs="FangSong_GB2312" w:eastAsia="FangSong_GB2312" w:hAnsi="FangSong_GB2312"/>
          <w:sz w:val="32"/>
          <w:szCs w:val="32"/>
        </w:rPr>
        <w:t xml:space="preserve">（信息来源：南方日报7月28日《“首店矩阵”开门迎客》  https://epaper.nfnews.com/nfdaily/html/202607/28/content_10176979.html）</w:t>
      </w:r>
    </w:p>
    <w:p>
      <w:pPr>
        <w:spacing w:after="200" w:before="400" w:line="560" w:lineRule="exact"/>
      </w:pPr>
      <w:r>
        <w:rPr>
          <w:rFonts w:ascii="SimHei" w:cs="SimHei" w:eastAsia="SimHei" w:hAnsi="SimHei"/>
          <w:b/>
          <w:bCs/>
          <w:sz w:val="32"/>
          <w:szCs w:val="32"/>
        </w:rPr>
        <w:t xml:space="preserve">3. 上半年云系特色经济作物增速背后的深层变革——重构高原特色农业价值链</w:t>
      </w:r>
    </w:p>
    <w:p>
      <w:pPr>
        <w:spacing w:line="560" w:lineRule="exact"/>
        <w:ind w:firstLine="640"/>
      </w:pPr>
      <w:r>
        <w:rPr>
          <w:rFonts w:ascii="FangSong_GB2312" w:cs="FangSong_GB2312" w:eastAsia="FangSong_GB2312" w:hAnsi="FangSong_GB2312"/>
          <w:sz w:val="32"/>
          <w:szCs w:val="32"/>
        </w:rPr>
        <w:t xml:space="preserve">云南省上半年水果、茶叶、中药材产量分别增长百分之五点二、百分之四点一、百分之七点六，通过全产业链系统变革推动高原特色农业从资源优势转向产业胜势。一是突破种业“芯片”。争取认定“十五五”国家制种大县十个、区域性良繁基地十个，施甸县、陆良县获五千万元国家制种大县奖励，启动优良品种推广后补助申报，计划遴选五个突破性新品种、十个优良大品种。二是推进设施农业智慧化转型。上半年争取中央资金一点二亿元实施蔬菜和花卉设施更新改造等项目，高标准设施鲜切花产量占比达百分之五十以上，设施蓝莓规模持续居全国首位。三是补强精深加工链条。争取实施国家优势特色产业集群两个、现代农业产业园两个及产业强镇九个，获六点九亿元资金支持，全省咖啡精深加工产能近十万吨、占全国三分之一。四是完善冷链物流体系。二百八十个农产品仓储保鲜冷链项目纳入常态化帮扶项目库，总投资十一点四亿元，全省农业领域冷库库容超八百万立方米。五是发展数字农业与农旅融合。打造二十个智慧农业应用场景，“数智云药”平台上半年交易额超十七点七亿元；全省九百零五个旅居村盘活闲置房屋二点六八万间，二千四百五十四个旅居经营主体带动六点八四万人就业。</w:t>
      </w:r>
    </w:p>
    <w:p>
      <w:pPr>
        <w:spacing w:after="400" w:before="100" w:line="560" w:lineRule="exact"/>
      </w:pPr>
      <w:r>
        <w:rPr>
          <w:rFonts w:ascii="FangSong_GB2312" w:cs="FangSong_GB2312" w:eastAsia="FangSong_GB2312" w:hAnsi="FangSong_GB2312"/>
          <w:sz w:val="32"/>
          <w:szCs w:val="32"/>
        </w:rPr>
        <w:t xml:space="preserve">（信息来源：云南网7月28日《上半年云系特色经济作物增速背后的深层变革——重构高原特色农业价值链》  https://society.yunnan.cn/system/2026/07/28/034098582.shtml）</w:t>
      </w:r>
    </w:p>
    <w:p>
      <w:pPr>
        <w:spacing w:after="200" w:before="400" w:line="560" w:lineRule="exact"/>
      </w:pPr>
      <w:r>
        <w:rPr>
          <w:rFonts w:ascii="SimHei" w:cs="SimHei" w:eastAsia="SimHei" w:hAnsi="SimHei"/>
          <w:b/>
          <w:bCs/>
          <w:sz w:val="32"/>
          <w:szCs w:val="32"/>
        </w:rPr>
        <w:t xml:space="preserve">4. 如何擦亮“创业安徽”这块金字招牌</w:t>
      </w:r>
    </w:p>
    <w:p>
      <w:pPr>
        <w:spacing w:line="560" w:lineRule="exact"/>
        <w:ind w:firstLine="640"/>
      </w:pPr>
      <w:r>
        <w:rPr>
          <w:rFonts w:ascii="FangSong_GB2312" w:cs="FangSong_GB2312" w:eastAsia="FangSong_GB2312" w:hAnsi="FangSong_GB2312"/>
          <w:sz w:val="32"/>
          <w:szCs w:val="32"/>
        </w:rPr>
        <w:t xml:space="preserve">安徽省以系统性政策供给培育创业生态，“创赢未来”创业大赛全国赛七月二十八日在合肥启动，全省四千三百三十六个报名项目覆盖新材料、高端装备、人工智能、半导体芯片、生物医药等前沿领域。一是升级创业政策体系。二〇二六年初发布《支持升级创业安徽行动若干措施》，从城市、能力、人才、平台、融资、生态六个方面提出十八条政策措施，探索发布创业城市活力指数，建设创业安徽中心，培育创业街区，实施“海创计划”。二是强化真金白银支持。对拥有核心技术的科技团队每年择优给予最高二千万元支持；发展耐心资本，改革完善国有基金“投早投小投长期投硬科技”尽职免责机制，推出“创业安徽险”“创业安徽贷”。三是压缩创业办事流程。个人创业“一件事”集成十三个创业事项，办理耗时从十三天压缩到三天。四是持续迭代营商环境。今年六月发布创优营商环境对标提升举措八点〇版，含三十八条举措、约一百六十项具体任务，连续第八年推出升级版政策，注重“小切口、可感受、可操作”。五是创业生态成效显现。全省市场经营主体突破八百五十万户、较二〇二一年增长百分之二十八，科技型中小企业达四点二万家、为二〇二一年的三点七倍，居全国第五位。</w:t>
      </w:r>
    </w:p>
    <w:p>
      <w:pPr>
        <w:spacing w:after="400" w:before="100" w:line="560" w:lineRule="exact"/>
      </w:pPr>
      <w:r>
        <w:rPr>
          <w:rFonts w:ascii="FangSong_GB2312" w:cs="FangSong_GB2312" w:eastAsia="FangSong_GB2312" w:hAnsi="FangSong_GB2312"/>
          <w:sz w:val="32"/>
          <w:szCs w:val="32"/>
        </w:rPr>
        <w:t xml:space="preserve">（信息来源：安徽日报7月28日《如何擦亮“创业安徽”这块金字招牌》  https://szb.ahnews.com.cn/ahrb/content/202607/28/c1147494.html）</w:t>
      </w:r>
    </w:p>
    <w:p>
      <w:pPr>
        <w:spacing w:after="200" w:before="400" w:line="560" w:lineRule="exact"/>
      </w:pPr>
      <w:r>
        <w:rPr>
          <w:rFonts w:ascii="SimHei" w:cs="SimHei" w:eastAsia="SimHei" w:hAnsi="SimHei"/>
          <w:b/>
          <w:bCs/>
          <w:sz w:val="32"/>
          <w:szCs w:val="32"/>
        </w:rPr>
        <w:t xml:space="preserve">5. “小城制造”何以玩转全球</w:t>
      </w:r>
    </w:p>
    <w:p>
      <w:pPr>
        <w:spacing w:line="560" w:lineRule="exact"/>
        <w:ind w:firstLine="640"/>
      </w:pPr>
      <w:r>
        <w:rPr>
          <w:rFonts w:ascii="FangSong_GB2312" w:cs="FangSong_GB2312" w:eastAsia="FangSong_GB2312" w:hAnsi="FangSong_GB2312"/>
          <w:sz w:val="32"/>
          <w:szCs w:val="32"/>
        </w:rPr>
        <w:t xml:space="preserve">河南省推动县域特色产业集群化、品牌化出海，荥阳市、上街区形成全国最大的动力游乐设备产业集群，生产了全国百分之三十五的动力游乐设备。一是集群化布局形成规模优势。两地登记在册相关企业超五百家，涵盖动力设备、充气设施、无动力设备等十四个细分门类，集聚七十余家整机企业和三百多家配套企业，零部件本地化率超百分之八十，二〇二四年行业总产值超二十亿元、出口额二点三亿元。二是科技与IP赋能产品升级。企业将“机械＋MR混合现实”技术应用于大摆锤、碰碰车等游乐产品，打造品牌IP矩阵，提供定制化、智能化游乐设施；龙头企业构建传统经典、中国文化、科普科幻、运动拓展、景观互动五大产品体系，拥有超五百种品类设施。三是推动制造商向全链条服务商转型。神童游乐集团完成从“设备制造商”到“文旅全链条服务商”蝶变，业务覆盖策划、设计、生产、建设、运营，项目遍布国内五万多家场所及海外近万家园区，在五十多个国家落地文旅项目。四是依托开放通道叫响区域品牌。借助“米”字形高铁网、中欧班列和跨境电商，“郑州游乐设备”在海外电商平台声名鹊起，客户可实现“一站式”采购，产品远销一百多个国家和地区。</w:t>
      </w:r>
    </w:p>
    <w:p>
      <w:pPr>
        <w:spacing w:after="400" w:before="100" w:line="560" w:lineRule="exact"/>
      </w:pPr>
      <w:r>
        <w:rPr>
          <w:rFonts w:ascii="FangSong_GB2312" w:cs="FangSong_GB2312" w:eastAsia="FangSong_GB2312" w:hAnsi="FangSong_GB2312"/>
          <w:sz w:val="32"/>
          <w:szCs w:val="32"/>
        </w:rPr>
        <w:t xml:space="preserve">（信息来源：河南日报7月28日《“小城制造”何以玩转全球》  https://dzb.henandaily.cn/html5/2026-07/28/content_11_1804032.htm）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2026-07-28T00:13:07.356Z</dcterms:created>
  <dcterms:modified xsi:type="dcterms:W3CDTF">2026-07-28T00:13:07.357Z</dcterms:modified>
</cp:coreProperties>
</file>

<file path=docProps/custom.xml><?xml version="1.0" encoding="utf-8"?>
<Properties xmlns="http://schemas.openxmlformats.org/officeDocument/2006/custom-properties" xmlns:vt="http://schemas.openxmlformats.org/officeDocument/2006/docPropsVTypes"/>
</file>