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媒体信息摘报</w:t>
      </w:r>
    </w:p>
    <w:p>
      <w:pPr>
        <w:jc w:val="center"/>
      </w:pPr>
      <w:r>
        <w:rPr>
          <w:rFonts w:ascii="仿宋_GB2312" w:hAnsi="仿宋_GB2312" w:eastAsia="仿宋_GB2312"/>
          <w:sz w:val="32"/>
        </w:rPr>
        <w:t>2026年10月29日</w:t>
      </w:r>
    </w:p>
    <w:p>
      <w:pPr>
        <w:jc w:val="center"/>
      </w:pPr>
      <w:r>
        <w:rPr>
          <w:rFonts w:ascii="仿宋_GB2312" w:hAnsi="仿宋_GB2312" w:eastAsia="仿宋_GB2312"/>
          <w:sz w:val="24"/>
        </w:rPr>
        <w:t>省级党报经济·科技·消费创新举措精选（福建省可借鉴）</w:t>
      </w:r>
    </w:p>
    <w:p>
      <w:r>
        <w:rPr>
          <w:rFonts w:ascii="黑体" w:hAnsi="黑体" w:eastAsia="黑体"/>
          <w:b/>
          <w:sz w:val="32"/>
        </w:rPr>
        <w:t>1. 山东9条政策措施着眼投资回稳，让企业少顾虑放心投</w:t>
      </w:r>
    </w:p>
    <w:p>
      <w:r>
        <w:rPr>
          <w:rFonts w:ascii="仿宋_GB2312" w:hAnsi="仿宋_GB2312" w:eastAsia="仿宋_GB2312"/>
        </w:rPr>
        <w:t>山东省日前印发《2026年促进经济“稳中求进、提质增效”政策清单（第二批）》，围绕推动投资尽快回稳推出9条政策措施，涉及政策性资金使用、科技成果转化、融资支持、要素保障等多个方面。一是临时用地接续使用。对纳入国家和省级重点项目清单的交通、能源、水利等基础设施项目，其依法获得批准的临时用地用林用草，在复垦（植被恢复）期满前，经省级确认后允许不同施工标段接续使用，累计使用期限不超过项目批准的施工周期，减少重复占地和手续办理。二是设立政策性资金管理奖励专项。省级安排5000万元，综合评估各市2026年中央预算内投资、超长期特别国债、新型政策性金融工具资金使用管理情况，对成效好、进展快、综合效益明显的5个市分别安排1500万元、1200万元、1000万元、800万元、500万元，用于支持社会民生、城市更新等补短板项目建设。三是布局概念验证中心和中试基地。面向具身智能、脑机接口、商业航天、工业母机、高端软件等重点领域和标志性产业链，布局建设一批省级概念验证中心和中试基地，对符合条件的依法依规给予政策支持。四是简化环评手续。各市可视情将规划环评与项目环评联动试点范围申请扩大至全省已开展规划环评的所有国家级园区及具备条件的省级园区，简化单个建设项目环评手续；济宁高新区一高端装备项目环评表降级为登记备案，办理时间由数十个工作日缩短至即时办结。五是拓展应收账款融资。允许建筑业企业将已确认的工程项目（含PPP项目）应收账款作为资产办理质押或转让，融资比例由金融机构和地方金融组织根据基础资产质量合理确定。</w:t>
      </w:r>
    </w:p>
    <w:p>
      <w:r>
        <w:rPr>
          <w:rFonts w:ascii="仿宋_GB2312" w:hAnsi="仿宋_GB2312" w:eastAsia="仿宋_GB2312"/>
          <w:sz w:val="24"/>
        </w:rPr>
        <w:t>（信息来源：大众日报10月29日《山东9条政策措施着眼投资回稳，让企业少顾虑放心投》  https://www.dzwww.com/news/sdnews/202610/t20261029_18249703.htm）</w:t>
      </w:r>
    </w:p>
    <w:p>
      <w:r>
        <w:rPr>
          <w:rFonts w:ascii="黑体" w:hAnsi="黑体" w:eastAsia="黑体"/>
          <w:b/>
          <w:sz w:val="32"/>
        </w:rPr>
        <w:t>2. 湖南消费“新”在哪：场景变产品，品质变动能</w:t>
      </w:r>
    </w:p>
    <w:p>
      <w:r>
        <w:rPr>
          <w:rFonts w:ascii="仿宋_GB2312" w:hAnsi="仿宋_GB2312" w:eastAsia="仿宋_GB2312"/>
        </w:rPr>
        <w:t>湖南省出台培育服务消费新增长点实施方案，将情绪式体验服务、引领沉浸式消费列为三大潜力领域之一，推动供给端从“卖商品”转向“造场景”、需求端从“买得到”转向“买得对”。一是老空间变身新场景。南县剧院提质改造后重新迎客，将老建筑、非遗戏曲与餐饮消费融为一体，开业首月消费总额突破70万元，节假日日均客流量突破千人次。二是沉浸式体验场景加速落地。长沙碧湘楚巷顺着原有街巷肌理，把历史融入可消费场景，设天符台茶馆、潮流餐吧与民谣空间，6月试运营当晚街区客流量突破6万人次；OLA华中首店开业当日销售额破百万元。三是科普体验场景构建。宁乡科学教育基地以九大主题场馆构建沉浸式科创体验场景，设置VR太空漫游、无人机实操、机器狗互动、人机博弈等项目，把静态科普变为可动手、可参与的体验式消费。四是非遗工坊全链条转型。益阳明清古巷不到200米聚集14个非遗代表性项目，洞庭木雕工坊向“观赏+体验+文创零售”全链条转型，夜间营收占比超60%。五是商品消费绿色智能升级。通程电器首届工厂巡展直销活动以“政府补贴打底、商家与厂家让利加码、平台与银行优惠跟进”五重惠民补贴合力，首日成交额突破4500万元；智能门锁、扫地机器人、洗碗机、AI眼镜等新兴品质家电受追捧；新能源汽车置换升级最高可享2万元政策红利。</w:t>
      </w:r>
    </w:p>
    <w:p>
      <w:r>
        <w:rPr>
          <w:rFonts w:ascii="仿宋_GB2312" w:hAnsi="仿宋_GB2312" w:eastAsia="仿宋_GB2312"/>
          <w:sz w:val="24"/>
        </w:rPr>
        <w:t>（信息来源：湖南日报10月29日《湖南消费“新”在哪：场景变产品，品质变动能》  http://mp.weixin.qq.com/s?__biz=MjM5MTE0OTQ2MQ==&amp;mid=2655555924&amp;idx=1&amp;sn=7acf07c68029474f1b41ef2d6b0a2eb2&amp;chksm=bcc06efbae3fd274eb184c814532f7da255fde29a14c35cf4be83407b97b9f7e8c6b0ac22185#rd）</w:t>
      </w:r>
    </w:p>
    <w:p>
      <w:r>
        <w:rPr>
          <w:rFonts w:ascii="黑体" w:hAnsi="黑体" w:eastAsia="黑体"/>
          <w:b/>
          <w:sz w:val="32"/>
        </w:rPr>
        <w:t>3. 【企事有解】纾一企之困 破一类难题——湖南把诉求办理作为消减“温差”、服务企业的关键一招</w:t>
      </w:r>
    </w:p>
    <w:p>
      <w:r>
        <w:rPr>
          <w:rFonts w:ascii="仿宋_GB2312" w:hAnsi="仿宋_GB2312" w:eastAsia="仿宋_GB2312"/>
        </w:rPr>
        <w:t>湖南省民营经济发展局（营商环境建设局）把诉求办理作为消减“温差”、服务企业的关键环节，线上线下畅通诉求渠道，全流程闭环办理，并从具体个案中归集共性需求，推动“解决一个问题”向“破解一类难题”拓展。一是“请民营企业家吃早餐”。今年3月23日起举办首场，省发展改革委、省民营局负责人与民营企业家围坐交流；至今已举办7场，27家企业坐上桌，52个诉求摆上台面，37个已解决。二是平台迭代升级。10月8日省营商环境诉求办理平台优化升级，由省市两级贯通拓展至省市县三级贯通，企业登录平台随时反映问题，实时可见诉求走到哪一步，像查快递一样。三是“营商110”接诉即办。651个优化营商环境监督测评站（点、员）扎在园区、市场、商会里打捞“没人吭声的问题”；简单诉求1小时响应、一般诉求3日办结；建立联企专员、企业联络员制度。四是闭环销号。实行“派单—督办—回访—办结”闭环，企业不点头就不能销号；今年29件诉求审核不通过被发回重办，抽查69件办结事项中8件因质效不达标退回整改。五是从个案到一类。针对比亚迪数百个充电站点备案审批在市县的堵点，一份请示报省政府，明确民营企业省内投资5000万元以上的充换电项目及高速公路服务区项目由省级统一备案，由“逐个跑”变“一次报”，政策不只为一家企业开门，其他充电设施建设企业同样可参与。</w:t>
      </w:r>
    </w:p>
    <w:p>
      <w:r>
        <w:rPr>
          <w:rFonts w:ascii="仿宋_GB2312" w:hAnsi="仿宋_GB2312" w:eastAsia="仿宋_GB2312"/>
          <w:sz w:val="24"/>
        </w:rPr>
        <w:t>（信息来源：湖南日报10月29日《【企事有解】纾一企之困 破一类难题——湖南把诉求办理作为消减“温差”、服务企业的关键一招》  https://hunan.voc.com.cn/news/202610/34111668.html）</w:t>
      </w:r>
    </w:p>
    <w:p>
      <w:r>
        <w:rPr>
          <w:rFonts w:ascii="黑体" w:hAnsi="黑体" w:eastAsia="黑体"/>
          <w:b/>
          <w:sz w:val="32"/>
        </w:rPr>
        <w:t>4. 让企业从北京走向全球更有底气</w:t>
      </w:r>
    </w:p>
    <w:p>
      <w:r>
        <w:rPr>
          <w:rFonts w:ascii="仿宋_GB2312" w:hAnsi="仿宋_GB2312" w:eastAsia="仿宋_GB2312"/>
        </w:rPr>
        <w:t>北京市把企业“找人、找钱、找市场、找出海通道”需求转化为政策供给与贴心服务，以“母港”定位为出海企业提供泊位、补给与航图。一是上线“一带一路”直通车平台。去年7月正式上线，哪国市场空间大、哪区域政策风险高，企业一目了然。二是布局线下出海会客厅。在企業集中区域陆续开设信保会客厅、CBD会客厅、数字丝路会客厅、海淀科创出海会客厅、亦庄新质出海会客厅，通过差异化定位精准服务。三是形成服务闭环。一套“活动引流—会客厅接诊—工单流转—服务转化”的闭环机制正在形成，从源头减少出海试错成本。四是办好京洽会平台。10月29日2026北京国际投资贸易洽谈会开幕，作为兼具投资、贸易、出海与场景的综合型平台，帮助“硬科技”企业破解出海面临的信息不对称、资源协同成本高等核心难题。五是完善制度供给。《北京市“十五五”时期高水平开放型经济发展规划》引导出海龙头企业及中小企业合理有序布局海外业务；服贸会首次搭建出海服务推介路演区，提供“一站式”专业服务；发布数字经济企业“出海十条”；加快出台会客厅运行管理办法和专业服务机构管理规则。</w:t>
      </w:r>
    </w:p>
    <w:p>
      <w:r>
        <w:rPr>
          <w:rFonts w:ascii="仿宋_GB2312" w:hAnsi="仿宋_GB2312" w:eastAsia="仿宋_GB2312"/>
          <w:sz w:val="24"/>
        </w:rPr>
        <w:t>（信息来源：北京日报10月29日《让企业从北京走向全球更有底气》  https://www.163.com/dy/article/LACB56M90514R9KQ.html）</w:t>
      </w:r>
    </w:p>
    <w:p>
      <w:r>
        <w:rPr>
          <w:rFonts w:ascii="黑体" w:hAnsi="黑体" w:eastAsia="黑体"/>
          <w:b/>
          <w:sz w:val="32"/>
        </w:rPr>
        <w:t>5. 热词解码丨制造业“三新”行动</w:t>
      </w:r>
    </w:p>
    <w:p>
      <w:r>
        <w:rPr>
          <w:rFonts w:ascii="仿宋_GB2312" w:hAnsi="仿宋_GB2312" w:eastAsia="仿宋_GB2312"/>
        </w:rPr>
        <w:t>河南省第十二次党代会将“加快建设现代化产业体系”列为高质量发展首位任务，明确提出统筹实施传统产业焕新、新兴产业创新、未来产业育新“三新”行动，勾勒从“存量升级”到“增量壮大”再到“变量策源”的产业跃迁路径。一是传统产业焕新。关键在“焕”而非“换”，强化标准引领，加快“智改数转网联”，用数字化和智能化手段对既有产线、工艺和组织方式重构；对食品、有色冶金等在全国产业链中占重要位置的产业，在存量中挖增量，让“老树发新芽”。二是新兴产业创新。将“创新设施建设、技术研究开发、产品迭代升级”三者并列，郑南商许超硬材料集群和洛阳现代农机装备集群已跻身国家先进制造业集群；筛选既能拉动投资又能带动上下游配套的赛道，打造成长潜力大、技术含量高、渗透领域广的新兴支柱产业。三是未来产业育新。布局生物制造、绿色氢能、具身智能、脑机接口、量子科技、第六代移动通信六个方向；建立未来产业投入增长和风险分担机制，比列一串产业名单更具实质意义；在具身智能和氢能领域已有积累，考验在技术路线未收敛阶段用可控成本完成早期布局。四是稳住制造业比重。推动制造业比重稳定合理增长，传统产业不能失速、新兴产业必须提速、未来产业育新为五年十年后增长积蓄力量。</w:t>
      </w:r>
    </w:p>
    <w:p>
      <w:r>
        <w:rPr>
          <w:rFonts w:ascii="仿宋_GB2312" w:hAnsi="仿宋_GB2312" w:eastAsia="仿宋_GB2312"/>
          <w:sz w:val="24"/>
        </w:rPr>
        <w:t>（信息来源：河南日报10月29日《热词解码丨制造业“三新”行动》  https://news.dahe.cn/2026/10-29/2146516.html）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after="120"/>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