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after="40" w:before="40"/>
        <w:jc w:val="center"/>
      </w:pPr>
      <w:r>
        <w:rPr>
          <w:rFonts w:ascii="黑体" w:hAnsi="黑体" w:eastAsia="黑体"/>
          <w:b/>
          <w:sz w:val="32"/>
        </w:rPr>
        <w:t>媒体信息摘报</w:t>
      </w:r>
    </w:p>
    <w:p>
      <w:pPr>
        <w:spacing w:lineRule="exact" w:line="560" w:after="40" w:before="40"/>
        <w:jc w:val="center"/>
      </w:pPr>
      <w:r>
        <w:rPr>
          <w:rFonts w:ascii="黑体" w:hAnsi="黑体" w:eastAsia="黑体"/>
          <w:b w:val="0"/>
          <w:sz w:val="32"/>
        </w:rPr>
        <w:t>2026年10月9日（省级党报经济·科技·消费创新举措精选）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/>
          <w:sz w:val="32"/>
        </w:rPr>
        <w:t>1. 烟火活力尽情释放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围绕国庆假期消费市场，贵州省通过政企联动惠民举措与特色文旅场景融合，具体举措如下：一是投放多批次惠民消费券。国庆期间，省商务厅、省文旅厅分别推出“食尚贵州·爱上黔菜”餐饮消费券、多彩贵州文旅消费券，多批次投放，覆盖贵州餐饮、景区、商超、住宿、文娱、观影等多个领域，以实打实补贴拉动黔菜餐饮与贵州文旅品牌出圈。二是叠加汽车以旧换新与家电惠民补贴。依托贵州省汽车以旧换新、家电惠民补贴政策，贵阳各大商超、汽车卖场客流攀升，新能源汽车、智能家电、户外露营装备成为消费热门；参与企业同步叠加门店折扣、商品优惠与商场补贴。三是打造乡村“村字号”IP联动消费。依托榕江“村超”、凯里“村T”等品牌，将体育赛事、民俗展演、乡村市集有机联动，配套特色美食集市、非遗展演与农特产品展销，把假日人气转化为餐饮、住宿、农特产品销售增量。四是升级城市商圈与夜间市集。贵阳青云市集精酿啤酒节、花溪十字街“山咔咔·河边边艺术市集”等将乡村农货、手工文创、小众手作集聚街头；中华路、世纪城、金融城等商圈推出主题市集、折扣促销、消费券联动系列活动，多元业态协同引流。五是做精红色研学与科技文旅。遵义《伟大转折》实景演艺、贵阳“红飘带”研学基地国庆期间全面加场，“红飘带”增至每日最多10场、日均接待近5000人次；依托“中国天眼”天文科普游带动天文文创销售。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（信息来源：贵州日报10月9日《烟火活力尽情释放》  https://szb.eyesnews.cn/pc/cont/202610/09/content_189975.html）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/>
          <w:sz w:val="32"/>
        </w:rPr>
        <w:t>2. 江苏夜经济 文化资源变资产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江苏省以夜经济为抓手，推动文化资源转化为消费业态，具体举措如下：一是实施博物馆延时开放与提质专项行动。今年6月起，省文旅厅以5家热门博物馆和65家年接待量50万人次以上国有博物馆为重点，启动为期一年的服务提质专项行动；国庆假期，南京博物院、扬州中国大运河博物馆、苏州博物馆、常州博物馆将闭馆时间从17时延至20时，江宁织造博物馆、六朝博物馆延至21时，并推出特展与“夜游”项目。二是出台夜间文旅经济提质增效政策。2025年9月，江苏出台《江苏省持续推动文化旅游业高质量发展三年行动计划（2025—2027年）》，单条部署“促进夜间文旅经济提质增效”，发展“深夜食堂”“花式夜购”“博物馆夜游”“公园夜健”等业态，支持打造20个精品旅游演艺项目，培育“一市一品”夜经济品牌矩阵。三是推行“票根经济”全域全链贯通。2026年9月，省文旅厅会同省发展改革委、省商务厅、省市场监管局、省体育局等五部门印发《文旅体商联合推动“票根经济”全域全链贯通的若干措施》，围绕“票根在手·江苏惠游”主题，明确票根权益有效期覆盖赛事演出当日及前后15天；首期入库优质商户不少于5000家，覆盖文娱票务、景区游览、酒店住宿、特色美食、商圈购物、便捷交通六大场景，权益可跨设区市使用。四是常态化举办大型营业性演出。按三年行动计划部署，江苏每年举办大型营业性演出不少于300场次，并配套培育演出经纪、场馆运营、票务平台与舞台技术装备协同产业链。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（信息来源：新华日报10月9日《江苏夜经济 文化资源变资产》  https://xh.xhby.net/pc/con/202610/09/content_1595835.html）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/>
          <w:sz w:val="32"/>
        </w:rPr>
        <w:t>3. 聚力先进制造 筑牢产业根基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广东以制造业当家为主线，探索先进制造发展路径，具体举措如下：一是推广制造业数字化“链式改造”模式。广东创新探索制造业数字化“链式改造”模式并向全国推广，依托行业龙头带动供应链上下游协同升级，累计推动超5.5万家规上工业企业数字化转型，创建国家绿色工厂660家、绿色工业园区12家、绿色供应链管理企业104家。二是布局高能级创新平台。广东拥有6家国家级制造业创新中心（数量居全国第一），累计申请专利2.2万件，孵化国产体外膜肺氧合系统（ECMO）、国产8K摄像机、5G超高清视频转播车等创新产品；支持龙头企业牵头组建创新联合体开展协同攻关。三是出台制造业专项法规。广东出台全国首个制造业地方性法规《广东省制造业高质量发展促进条例》，将制造业发展实践中的政策、经验和做法转化为法规制度，为“制造业当家”提供法治保障。四是打造“领航级”智能工厂标杆。以格力金湾智能工厂为全国首批“领航级”智能工厂为代表，推动2000余台自研工业机器人协同作业，装备自主研制率超80%，并以标杆工厂带动产业链智能化升级。五是培育服务型制造示范。广州、深圳、东莞、佛山入选国家服务型制造示范城市，推动家电等企业从卖产品转向卖“场景套装”，工厂从赚“加工费”转向吃设计、品牌、运维、解决方案附加值。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（信息来源：南方日报10月9日《聚力先进制造 筑牢产业根基》  https://epaper.nfnews.com/nfdaily/html/202610/09/content_10183069.html）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/>
          <w:sz w:val="32"/>
        </w:rPr>
        <w:t>4. 从“墙上的证书”到“产业里的资产”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江西省印发《江西省高价值发明专利培育计划实施方案》，推动专利从证书转化为资产，具体举措如下：一是把高价值发明专利培育中心建在产业链上。按照“链主企业+院所+服务机构”协同模式运行，围绕“1269”行动计划，以节能环保、新一代信息技术、生物、高端装备制造、新能源、新材料、新能源汽车、数字创意、航空航天等产业为重点，组建培育中心，共同梳理关键核心技术、确立专利布局路径；到“十五五”末建成50个以上培育中心，实现全省战略性新兴产业全覆盖；对中小企业建立“一企一策”培育机制。二是构建“1+N”知识产权运营体系。建设江西省知识产权运营中心，布局建设68个产业知识产权运营中心，并与江西省科技成果转移转化中心联通共享，常态化开展专利转化对接、开放许可、技术交易；组织高校院所开展存量专利盘点，建立可转化专利库。三是推进知识产权质押融资与证券化。激励银行开发和推广知识产权信贷产品，优先将知识产权质押贷款纳入银行再贷款支持范围，鼓励金融创新，持续推进知识产权证券化，推动保险机构开展知识产权保险，探索质押融资风险分担和质物处置机制。四是支持海外专利布局与风险应对。重点支持电子信息、锂电新能源、光伏、铜基新材料、钨稀土新材料、汽车、纺织服装等优势产业海外专利布局，加快建设国家海外知识产权纠纷应对指导中心江西分中心，完善国际风险预警和应急机制，提供一对一辅导。五是开通专利审查绿色通道与基层服务网络。加快建成省级知识产权保护中心，运用优先审查、集中审查开通绿色通道；构建省市县三级知识产权公共服务网络，实施“知服通”对接行动，布局基层知识产权工作站，培养知识产权专员。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（信息来源：江西日报10月9日《从“墙上的证书”到“产业里的资产”》  https://finance.sina.com.cn/jjxw/2026-10-09/doc-iniuqiyt7225403.shtml）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/>
          <w:sz w:val="32"/>
        </w:rPr>
        <w:t>5. 湖北体系化推进七大要素交易服务平台建设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湖北体系化建设技术、数据、水权、人力资源、多式联运、生态环境权益、农村综合产权七大要素交易服务平台，具体举措如下：一是高位推动与清单化管理。将要素交易服务平台建设作为省“十五五”规划纲要和“推进高质量发展改革创新系列行动”重点任务，印发《湖北省深入推进要素市场化配置改革体系化建设要素交易服务平台2026年工作方案》，明确57项工作任务，实行清单化、项目化推进；完善“发改统筹协调、部门牵头负责、平台主体实施、武汉支持保障”工作体系。二是健全交易制度规则与标准。把制度规则、运营标准和风险防控作为平台运行“四梁八柱”：水权交易平台编制《水权交易操作指引》，数据流通平台出台《湖北省数据流通交易暂行办法》，生态环境平台联合金融管理部门出台固废资源化、生态产品交易规则；技术交易平台建立“披露—评估—公示—交易—鉴证”全流程规程；多式联运平台探索水运电子运单标准及交换规范。三是打造标杆性交易场景。水权交易平台创新开展施工临时取水、公共管网用水户水权交易；多式联运平台打造“北粮南运”“赶肉下江”精品线路，单柜综合成本节约2000元以上；生态环境平台服务全国碳市场四大行业3761家企业。四是升级增值服务与省际互通。农村产权平台上线“金融超市”，上架贷款、保险、担保产品177个，发放“两农”信用贷4.18亿元；数据流通平台对接6家金融机构，完成数据资产登记29项、授信超2亿元；推动省际互通，打造跨域流转、共建共享的枢纽载体。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>（信息来源：湖北日报10月9日《湖北体系化推进七大要素交易服务平台建设》  https://news.10jqka.com.cn/20261009/c680496361.shtml）</w:t>
      </w:r>
    </w:p>
    <w:p>
      <w:pPr>
        <w:spacing w:lineRule="exact" w:line="560" w:after="40" w:before="40"/>
      </w:pPr>
      <w:r>
        <w:rPr>
          <w:rFonts w:ascii="仿宋_GB2312" w:hAnsi="仿宋_GB2312" w:eastAsia="仿宋_GB2312"/>
          <w:b w:val="0"/>
          <w:sz w:val="32"/>
        </w:rP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