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Rule="exact" w:line="480" w:before="0" w:after="0"/>
      </w:pPr>
      <w:r>
        <w:rPr>
          <w:rFonts w:ascii="黑体" w:hAnsi="黑体" w:eastAsia="黑体" w:cs="黑体"/>
          <w:b/>
          <w:sz w:val="32"/>
        </w:rPr>
        <w:t>媒体信息摘报</w:t>
      </w:r>
    </w:p>
    <w:p>
      <w:pPr>
        <w:jc w:val="center"/>
        <w:spacing w:lineRule="exact" w:line="480" w:before="0" w:after="0"/>
      </w:pPr>
      <w:r>
        <w:rPr>
          <w:rFonts w:ascii="仿宋_GB2312" w:hAnsi="仿宋_GB2312" w:eastAsia="仿宋_GB2312" w:cs="仿宋_GB2312"/>
          <w:sz w:val="32"/>
        </w:rPr>
        <w:t>（2026年7月30日 · 省级党报经济·科技·消费创新举措精选）</w:t>
      </w:r>
    </w:p>
    <w:p>
      <w:pPr>
        <w:jc w:val="left"/>
        <w:spacing w:lineRule="exact" w:line="480" w:before="0" w:after="0"/>
      </w:pPr>
      <w:r>
        <w:rPr>
          <w:rFonts w:ascii="黑体" w:hAnsi="黑体" w:eastAsia="黑体" w:cs="黑体"/>
          <w:b/>
          <w:sz w:val="32"/>
        </w:rPr>
        <w:t>我省开创"媒体+"赋能"百千万工程"新局面</w:t>
      </w:r>
    </w:p>
    <w:p>
      <w:pPr>
        <w:ind w:firstLine="640"/>
        <w:jc w:val="left"/>
        <w:spacing w:lineRule="exact" w:line="480" w:before="0" w:after="0"/>
      </w:pPr>
      <w:r>
        <w:rPr>
          <w:rFonts w:ascii="仿宋_GB2312" w:hAnsi="仿宋_GB2312" w:eastAsia="仿宋_GB2312" w:cs="仿宋_GB2312"/>
          <w:sz w:val="32"/>
        </w:rPr>
        <w:t>广东印发全国首个省级层面"媒体+"赋能乡村振兴政策文件，以媒体公信力、内容生产力、媒介连接力为支点，主动嵌入产业发展、公共服务和基层治理场景，推动城乡区域协调发展。一是出台专项行动方案明确五大目标。去年7月印发《"媒体+"赋能"百千万工程"农产品市场体系建设行动方案（2025—2027年）》，围绕农业增效益、农村增活力、农民增收入，提出八大重点任务及五项具体保障措施，到2027年实现促消费、促外贸、促文旅、促农民增收、促媒体转型五大目标。二是打造"媒体+产业"标杆案例。在茂名高州泗水镇滩底村形成"手机成为新农具、流量成为新农资、拍戏成为新农活"常态；在湛江遂溪乌塘镇培育全省首个"小红书村"，荔农组建全民"种草"媒体矩阵；在茂名化州推动化橘红全产业链产值从35亿元跃升至126亿元，带动35万乡亲就业增收。三是推动精准谋划"媒体+"项目。全省聚焦特色产业垂类赛道，用信息流带动资金流、技术流、人才流流向县镇村，用传播力激活生产力、品牌力、竞争力，持续擦亮"粤字号"金招牌，助力"广货行天下"。</w:t>
      </w:r>
    </w:p>
    <w:p>
      <w:pPr>
        <w:jc w:val="left"/>
        <w:spacing w:lineRule="exact" w:line="480" w:before="0" w:after="0"/>
      </w:pPr>
      <w:r>
        <w:rPr>
          <w:rFonts w:ascii="仿宋_GB2312" w:hAnsi="仿宋_GB2312" w:eastAsia="仿宋_GB2312" w:cs="仿宋_GB2312"/>
          <w:sz w:val="32"/>
        </w:rPr>
        <w:t>（信息来源：南方日报7月30日《我省开创"媒体+"赋能"百千万工程"新局面》  https://epaper.nfnews.com/nfdaily/html/202607/30/content_10177206.html）</w:t>
      </w:r>
    </w:p>
    <w:p>
      <w:pPr>
        <w:jc w:val="left"/>
        <w:spacing w:lineRule="exact" w:line="480" w:before="0" w:after="0"/>
      </w:pPr>
      <w:r>
        <w:rPr>
          <w:rFonts w:ascii="黑体" w:hAnsi="黑体" w:eastAsia="黑体" w:cs="黑体"/>
          <w:b/>
          <w:sz w:val="32"/>
        </w:rPr>
        <w:t>从"一件事"到"随心办" 在安徽办事越来越方便</w:t>
      </w:r>
    </w:p>
    <w:p>
      <w:pPr>
        <w:ind w:firstLine="640"/>
        <w:jc w:val="left"/>
        <w:spacing w:lineRule="exact" w:line="480" w:before="0" w:after="0"/>
      </w:pPr>
      <w:r>
        <w:rPr>
          <w:rFonts w:ascii="仿宋_GB2312" w:hAnsi="仿宋_GB2312" w:eastAsia="仿宋_GB2312" w:cs="仿宋_GB2312"/>
          <w:sz w:val="32"/>
        </w:rPr>
        <w:t>安徽对标沪苏浙"无证明城市"改革经验，将"无证明城市"建设纳入"高效办成一件事"重点事项清单并在全省推进，用工业互联网思维打通行政层级和部门壁垒，推动政务服务从"固定套餐"升级为"随机拼单"。一是聚焦民生关切优化43个"一件事"。以登记失业人员就业帮扶"一件事"为例，将失业登记、失业保险金申领等10个事项集成办理，材料精简44%、办理时限压缩78%；亳州"无证明城市"服务平台自2025年10月上线以来，累计办理各类证明超1万件。二是聚焦经济发展部署40个"一件事"。围绕企业融资服务、汽车以旧换新补贴申请、固定资产投资项目审批等推出集成办理；数据赋能消费"一件事"通过分析用户行为与消费习惯精准画像，将吃住行游购等场景延链补链，上线以来推出50项融合场景，服务消费者259万次，拉动各类消费超773亿元。三是着眼科技创新推出科技成果转化"一件事"。改革后科技成果查新周期从最短15个工作日压缩至3个工作日，提速达80%。四是创新"皖美随心办"随机拼单模式。将全省政务服务事项表单要素拆开、打散、重新编码，建立全省统一政务服务业务中枢，已上线交通运输等领域400余个事项，支持群众和企业按需随机组合联合办理。</w:t>
      </w:r>
    </w:p>
    <w:p>
      <w:pPr>
        <w:jc w:val="left"/>
        <w:spacing w:lineRule="exact" w:line="480" w:before="0" w:after="0"/>
      </w:pPr>
      <w:r>
        <w:rPr>
          <w:rFonts w:ascii="仿宋_GB2312" w:hAnsi="仿宋_GB2312" w:eastAsia="仿宋_GB2312" w:cs="仿宋_GB2312"/>
          <w:sz w:val="32"/>
        </w:rPr>
        <w:t>（信息来源：安徽日报7月30日《从"一件事"到"随心办" 在安徽办事越来越方便》  https://szb.ahnews.com.cn/ahrb/content/202607/30/c1147806.html）</w:t>
      </w:r>
    </w:p>
    <w:p>
      <w:pPr>
        <w:jc w:val="left"/>
        <w:spacing w:lineRule="exact" w:line="480" w:before="0" w:after="0"/>
      </w:pPr>
      <w:r>
        <w:rPr>
          <w:rFonts w:ascii="黑体" w:hAnsi="黑体" w:eastAsia="黑体" w:cs="黑体"/>
          <w:b/>
          <w:sz w:val="32"/>
        </w:rPr>
        <w:t>专利预审员有了"智能搭子"</w:t>
      </w:r>
    </w:p>
    <w:p>
      <w:pPr>
        <w:ind w:firstLine="640"/>
        <w:jc w:val="left"/>
        <w:spacing w:lineRule="exact" w:line="480" w:before="0" w:after="0"/>
      </w:pPr>
      <w:r>
        <w:rPr>
          <w:rFonts w:ascii="仿宋_GB2312" w:hAnsi="仿宋_GB2312" w:eastAsia="仿宋_GB2312" w:cs="仿宋_GB2312"/>
          <w:sz w:val="32"/>
        </w:rPr>
        <w:t>天津市滨海新区知识产权保护中心自主开发融合大模型的专利形式审查工具，推动专利预审从人力密集型转向技术密集型，提升知识产权服务效率。一是研发本地化AI审查工具。该中心于去年11月基于大语言模型语义理解能力，开发出具有自主知识产权的专利文档形式审查工具，具备智能文件解析、精准信息提取、多维度规则验证、可视化结果输出四大模块，所有专利数据本地设备处理、全程不经外部网络。二是大幅压缩形式审查耗时。将单件专利文档平均处理时间从原来人工所需20至30分钟压缩至1至2分钟，关键信息一致性校验准确率达95%以上，可降低50%"掉标"风险（失去快速审查资格），预审员得以腾出精力研判技术方案、挖掘创新点。三是拓展审查适用范围。目前该AI工具主要适配发明专利，近期计划拓展至实用新型专利形式审查；工具运行以来中心累计处理量逾800件，上半年受理专利预审案件1712件、同比增长46.08%，发明专利占比达95.8%。</w:t>
      </w:r>
    </w:p>
    <w:p>
      <w:pPr>
        <w:jc w:val="left"/>
        <w:spacing w:lineRule="exact" w:line="480" w:before="0" w:after="0"/>
      </w:pPr>
      <w:r>
        <w:rPr>
          <w:rFonts w:ascii="仿宋_GB2312" w:hAnsi="仿宋_GB2312" w:eastAsia="仿宋_GB2312" w:cs="仿宋_GB2312"/>
          <w:sz w:val="32"/>
        </w:rPr>
        <w:t>（信息来源：天津日报7月30日《专利预审员有了"智能搭子"》  https://epaper.tianjinwe.com/tjrb/html/2026-07/30/content_143078_3687078.htm）</w:t>
      </w:r>
    </w:p>
    <w:p>
      <w:pPr>
        <w:jc w:val="left"/>
        <w:spacing w:lineRule="exact" w:line="480" w:before="0" w:after="0"/>
      </w:pPr>
      <w:r>
        <w:rPr>
          <w:rFonts w:ascii="黑体" w:hAnsi="黑体" w:eastAsia="黑体" w:cs="黑体"/>
          <w:b/>
          <w:sz w:val="32"/>
        </w:rPr>
        <w:t>"新"潮拍岸，江宁起势</w:t>
      </w:r>
    </w:p>
    <w:p>
      <w:pPr>
        <w:ind w:firstLine="640"/>
        <w:jc w:val="left"/>
        <w:spacing w:lineRule="exact" w:line="480" w:before="0" w:after="0"/>
      </w:pPr>
      <w:r>
        <w:rPr>
          <w:rFonts w:ascii="仿宋_GB2312" w:hAnsi="仿宋_GB2312" w:eastAsia="仿宋_GB2312" w:cs="仿宋_GB2312"/>
          <w:sz w:val="32"/>
        </w:rPr>
        <w:t>南京江宁锚定打造新质生产力先行区、产业科技创新示范区目标，以智能电网、6G、临空经济为主攻方向，构筑"产业+科创+金融"融合创新生态。一是做强三大产业集群。智能电网产业规模超2500亿元，"智能电网谷"集聚产业链企业200余家；发布江苏省固态变压器产业图谱，组建江苏省6G产业联盟；禄口机场三期加速前期工作，两大电信运营商百亿级项目签约落地，万P级算力提供数字基础设施底座。二是构建三级跃升转化体系。依托紫金山实验室、紫金山科技产业集团、紫金山科技城，推动新技术概念验证、孵化、载体赋能全链条转化；推进紫金山创新带重大科创平台，打通麒麟科技城10项核心AI技术与6G研发实景测试协同。三是深化"无界校园"建设。依托全国高校信息通信区域技术转移转化中心（江苏），与32所参建高校"一校一专员"对接，今年落地转化项目65个；"紫金山新质汇"科技成果转化服务超市推动产学研合作97项、促成技术合同交易超100项。四是打造科创金融生态。设立智元引导基金、产业发展基金、百亿级国企母基金3只区级母基金，累计投资项目超600个，培育上市企业52家、国家级专精特新"小巨人"企业154家；线下服务专员推动9个重大项目"拿地即开工"，线上"江宁政企通"4.0版新增政策自动匹配功能。</w:t>
      </w:r>
    </w:p>
    <w:p>
      <w:pPr>
        <w:jc w:val="left"/>
        <w:spacing w:lineRule="exact" w:line="480" w:before="0" w:after="0"/>
      </w:pPr>
      <w:r>
        <w:rPr>
          <w:rFonts w:ascii="仿宋_GB2312" w:hAnsi="仿宋_GB2312" w:eastAsia="仿宋_GB2312" w:cs="仿宋_GB2312"/>
          <w:sz w:val="32"/>
        </w:rPr>
        <w:t>（信息来源：新华日报7月30日《"新"潮拍岸，江宁起势》  https://xh.xhby.net/pc/con/202607/30/content_1576624.html）</w:t>
      </w:r>
    </w:p>
    <w:p>
      <w:pPr>
        <w:jc w:val="left"/>
        <w:spacing w:lineRule="exact" w:line="480" w:before="0" w:after="0"/>
      </w:pPr>
      <w:r>
        <w:rPr>
          <w:rFonts w:ascii="黑体" w:hAnsi="黑体" w:eastAsia="黑体" w:cs="黑体"/>
          <w:b/>
          <w:sz w:val="32"/>
        </w:rPr>
        <w:t>便利店取货、景区跳舞……来北京街头巷尾偶遇"机器打工人"</w:t>
      </w:r>
    </w:p>
    <w:p>
      <w:pPr>
        <w:ind w:firstLine="640"/>
        <w:jc w:val="left"/>
        <w:spacing w:lineRule="exact" w:line="480" w:before="0" w:after="0"/>
      </w:pPr>
      <w:r>
        <w:rPr>
          <w:rFonts w:ascii="仿宋_GB2312" w:hAnsi="仿宋_GB2312" w:eastAsia="仿宋_GB2312" w:cs="仿宋_GB2312"/>
          <w:sz w:val="32"/>
        </w:rPr>
        <w:t>北京具身智能企业加速将机器人推向零售、物流、工业等真实场景，形成"技术研发—数据训练—上岗验证"的具身智能产业培育路径。一是强化政策与基金支撑。出台《北京具身智能科技创新与产业培育行动计划（2025—2027年）》，设立总规模1000亿元、存续期15年的政府投资基金；计划到2027年形成不少于50款具身智能量产产品，在科研教育、工业商业、个性化服务三大场景实现不少于100项规模化应用，培育千亿级产业集群。二是建设真实场景数据训练基地。依托国内首个基于真实场景的具身智能数据训练基地，搭建家居、商超、工业、康养等30余个典型应用场景，120多个机器人"学员"开展电焊、化学实验、工业物流等训练，训练数据日产能超500小时，已对外交付近两万小时高质量数据。三是推动机器人规模化落地。银河通用"银河太空舱"智慧零售方案在全国20余个城市落地超百家门店、计划升至1000家，创人形机器人自主工作超一年纪录；星动纪元分拣机器人进入宁德时代、德国博世等真实产线，抓取搬运成功率99.8%，2026年订单达千级数量；全市集聚机器人骨干企业400余家、人形机器人整机单位近30家，居全国首位。</w:t>
      </w:r>
    </w:p>
    <w:p>
      <w:pPr>
        <w:jc w:val="left"/>
        <w:spacing w:lineRule="exact" w:line="480" w:before="0" w:after="0"/>
      </w:pPr>
      <w:r>
        <w:rPr>
          <w:rFonts w:ascii="仿宋_GB2312" w:hAnsi="仿宋_GB2312" w:eastAsia="仿宋_GB2312" w:cs="仿宋_GB2312"/>
          <w:sz w:val="32"/>
        </w:rPr>
        <w:t>（信息来源：北京日报7月30日《便利店取货、景区跳舞……来北京街头巷尾偶遇"机器打工人"》  https://news.bjd.com.cn/2026/07/30/11892420.shtml）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