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200" w:after="100"/>
        <w:jc w:val="center"/>
      </w:pPr>
      <w:r>
        <w:rPr>
          <w:rFonts w:ascii="SimHei" w:hAnsi="SimHei"/>
          <w:b/>
          <w:sz w:val="32"/>
        </w:rPr>
        <w:t>7.1媒体信息摘报</w:t>
      </w:r>
    </w:p>
    <w:p>
      <w:pPr>
        <w:spacing w:lineRule="exact" w:line="560" w:before="200" w:after="60"/>
      </w:pPr>
      <w:r>
        <w:rPr>
          <w:rFonts w:ascii="SimHei" w:hAnsi="SimHei"/>
          <w:b/>
          <w:sz w:val="32"/>
        </w:rPr>
        <w:t>山东服务业发展一线直击｜销售工程师有了"口袋智囊"</w:t>
      </w:r>
    </w:p>
    <w:p>
      <w:pPr>
        <w:spacing w:lineRule="exact" w:line="560" w:before="0" w:after="0"/>
      </w:pPr>
      <w:r>
        <w:rPr>
          <w:rFonts w:ascii="FangSong_GB2312" w:hAnsi="FangSong_GB2312"/>
          <w:sz w:val="32"/>
        </w:rPr>
        <w:t>淄博市博山区有近90年机电泵产业发展史，集聚机电泵及配套企业近2000家，产业规模超百亿。过去，泵企选型靠长期经验积累，老师傅经验难以快速传承，一旦"老带新"不及时，企业服务能力和口碑便会打折。今年5月，浪潮云洲联合清华大学等技术团队建设的全国首个机电泵工业大模型工匠工厂在博山区建成投运，面向产业集群建立数智基础设施，实现产业数据、知识、算力的统一沉淀与共享复用。</w:t>
        <w:br/>
        <w:t>一是建设产业级数智基础设施。该大模型工匠工厂不是单点工具或定制化软件系统，而是面向博山泵业产业集群建立的数智基础设施，为全行业提供统一的底层能力支撑。</w:t>
        <w:br/>
        <w:t>二是开发"泵搜智能体"选型工具。微信下拉点开"泵搜智能体"小程序对话界面，输入"井径210mm、流量80m³/h、扬程150m"等核心参数，AI助手自动校验、匹配型号，几秒钟出方案、几分钟完成选泵，将过去依赖人工经验积累的选型流程转化为数据驱动的精准匹配。</w:t>
        <w:br/>
        <w:t>三是中小企业共享数智能力。不只大企业，中小企业也能共享这套数智能力，有了基于行业经验的"口袋智囊"，企业的独有工艺、性能优势得以放大。</w:t>
        <w:br/>
        <w:t>四是实现经验数据化沉淀与转化。从翻查产品册到AI对话，从经验判断到数据沉淀转化，减少内耗，加速产品流转，形成"精准对接—有序交付"的良性供需闭环，降低创新时间成本与运营风险。</w:t>
        <w:br/>
        <w:t>自机电泵工业大模型工匠工厂运营以来，淄博市机电泵企业质效平均提升30%，选泵效率提升80%，仅颜山泵业一家企业就因此收获新增订单超300万元，另有一家企业靠"泵搜智能体"精准选泵挽回几十万元的退货损失。</w:t>
      </w:r>
    </w:p>
    <w:p>
      <w:pPr>
        <w:spacing w:lineRule="exact" w:line="560" w:before="60" w:after="200"/>
      </w:pPr>
      <w:r>
        <w:rPr>
          <w:rFonts w:ascii="FangSong_GB2312" w:hAnsi="FangSong_GB2312"/>
          <w:sz w:val="32"/>
        </w:rPr>
        <w:t>（信息来源：大众日报7月1日《山东服务业发展一线直击｜销售工程师有了"口袋智囊"》  https://dzrb.dzng.com/general/0/NEWS3501922WTDXRBYKZGBCX）</w:t>
      </w:r>
    </w:p>
    <w:p>
      <w:pPr>
        <w:spacing w:lineRule="exact" w:line="560" w:before="200" w:after="60"/>
      </w:pPr>
      <w:r>
        <w:rPr>
          <w:rFonts w:ascii="SimHei" w:hAnsi="SimHei"/>
          <w:b/>
          <w:sz w:val="32"/>
        </w:rPr>
        <w:t>经济观潮·体验派｜不只打卡拍照，更要"学点什么"：年轻人爱上"知识型旅行"</w:t>
      </w:r>
    </w:p>
    <w:p>
      <w:pPr>
        <w:spacing w:lineRule="exact" w:line="560" w:before="0" w:after="0"/>
      </w:pPr>
      <w:r>
        <w:rPr>
          <w:rFonts w:ascii="FangSong_GB2312" w:hAnsi="FangSong_GB2312"/>
          <w:sz w:val="32"/>
        </w:rPr>
        <w:t>文旅消费正涌现一个新趋势：对新一代游客而言，旅行已不只是抵达景点、拍照打卡，更重要的是深入体验当地文化与日常生活，动手、动脑、动心，真正学到东西、留下记忆。多家OTA平台数据印证了这一趋势：今年端午假期，包含餐饮、演出、游乐项目的玩乐组合商品预订量同比增长83%，包粽子、制香囊、编织五彩绳等民俗类产品预订热度同比增长超23%。中国旅游研究院调查显示，68%的游客将体验感作为出行的首要考虑因素。</w:t>
        <w:br/>
        <w:t>一是打造沉浸式演艺体验项目。泰山全新升级《中华泰山·封禅大典》大型实景演艺，复原大汶口彩陶部落、秦王封禅、诗圣杜甫望岳等场景，创新推出"古风穿越季"活动，为观演游客免费提供古装，并免费提供养生素餐和时令茶，增强沉浸体验。威海推出"渔家民俗体验周"，游客可参与胶东花饽饽制作、渔民开洋节仪式。</w:t>
        <w:br/>
        <w:t>二是建设知识型体验链。济南九如山休闲旅游度假区设置20多个DIY手作工坊，涵盖植物拓印、巧克力、香囊、香水等手工项目，将徒步、手作与休闲组合成一条完整的知识型体验链。济南鹊华中新园开设咖啡拉花体验课等成人短训班，满足游客"在旅行中学技能"的需求。</w:t>
        <w:br/>
        <w:t>三是推动非遗从静态保存走向数字活化。孔子博物馆"孔子密码"VR研学体验展吸引大量游客参与，使用智能导览等深度体验服务的游客，复游意愿可提升35%。淄博、潍坊等地在传统古村落打造"非遗体验营"，让游客跟着非遗代表性传承人学习技艺。</w:t>
        <w:br/>
        <w:t>四是实现差异化运营与流量转化。山东现有联合国教科文组织人类非遗项目10个，国家级非遗代表性项目186个，但真正"出圈"的不到10%。要把民俗非遗转化为长期稳定的旅游资源，需补齐基础设施短板，创新演绎方式实现差异化运营，把一时流量转化为游客停留时间和复游率。</w:t>
      </w:r>
    </w:p>
    <w:p>
      <w:pPr>
        <w:spacing w:lineRule="exact" w:line="560" w:before="60" w:after="200"/>
      </w:pPr>
      <w:r>
        <w:rPr>
          <w:rFonts w:ascii="FangSong_GB2312" w:hAnsi="FangSong_GB2312"/>
          <w:sz w:val="32"/>
        </w:rPr>
        <w:t>（信息来源：大众日报7月1日《经济观潮·体验派｜不只打卡拍照，更要"学点什么"：年轻人爱上"知识型旅行"》  https://dzrb.dzng.com/general/0/NEWS3501843ZRLYMITTSZPIL）</w:t>
      </w:r>
    </w:p>
    <w:p>
      <w:pPr>
        <w:spacing w:lineRule="exact" w:line="560" w:before="200" w:after="60"/>
      </w:pPr>
      <w:r>
        <w:rPr>
          <w:rFonts w:ascii="SimHei" w:hAnsi="SimHei"/>
          <w:b/>
          <w:sz w:val="32"/>
        </w:rPr>
        <w:t>决胜万亿分之一的"破毒"之战</w:t>
      </w:r>
    </w:p>
    <w:p>
      <w:pPr>
        <w:spacing w:lineRule="exact" w:line="560" w:before="0" w:after="0"/>
      </w:pPr>
      <w:r>
        <w:rPr>
          <w:rFonts w:ascii="FangSong_GB2312" w:hAnsi="FangSong_GB2312"/>
          <w:sz w:val="32"/>
        </w:rPr>
        <w:t>中科院生态环境研究中心江桂斌团队长期深耕新污染物研究领域，面对全球70%疾病与40%死亡源于环境因素的现实，执着探寻经济发展与环境保护的最佳平衡点。团队围绕污染物检测、分析与治理，形成了一套从科研突破到落地应用的创新体系。</w:t>
        <w:br/>
        <w:t>一是突破超高灵敏检测技术瓶颈。二噁英浓度在万亿分之一级别，210种异构体毒性相差数百倍，超高灵敏检测设备长期被欧美垄断。2005年团队首次提出"成组毒理学"概念，2013年成功研制全球首台高通量多功能成组毒理学分析仪，实现在同一台设备上对二噁英、PCBs、PBDEs等POPs和新污染物的同步分析与毒性评价，打破传统"单一污染物—单一毒性"研究范式。</w:t>
        <w:br/>
        <w:t>二是构建全链条技术体系。团队构建非靶向筛查、成组毒理学分析、跨介质迁移模拟的全链条技术体系，将污染防控关口前移至化学品设计、生产与使用源头，从被动等待转向以特定毒性靶点为切入口、结合分子流行病学主动溯源。在环渤海、长三角等区域已发现100多种国际首次报道的新污染物。</w:t>
        <w:br/>
        <w:t>三是建立平衡型治理模式。7年前团队在浙江淳安建立"千岛湖水研究基地"，回溯源头查清污染物，守住Ⅰ-Ⅱ类优质水体底线的同时，保留当地"以鱼控藻、以渔保水"的传统做法，控制面源污染，让老百姓一边靠水发展一边守护水源，不做"一刀切"式治理。</w:t>
        <w:br/>
        <w:t>四是提出聚焦型治理中国方案。面对每天新增4万种新化学品、全球总量已达2.7亿种的现状，团队不认同美国学者的宽泛定义，提出聚焦典型"坏分子"的中国方案——从5万种以上在产在用化学物质中识别高风险新污染物，2022年国务院《新污染物治理行动方案》明确POPs、内分泌干扰物、抗生素几类重点，生态环境部重点管控清单从14类聚焦到5类典型新污染物。</w:t>
      </w:r>
    </w:p>
    <w:p>
      <w:pPr>
        <w:spacing w:lineRule="exact" w:line="560" w:before="60" w:after="200"/>
      </w:pPr>
      <w:r>
        <w:rPr>
          <w:rFonts w:ascii="FangSong_GB2312" w:hAnsi="FangSong_GB2312"/>
          <w:sz w:val="32"/>
        </w:rPr>
        <w:t>（信息来源：浙江日报7月1日《决胜万亿分之一的"破毒"之战》  https://zjnews.zjol.com.cn/zjnews/202607/t20260701_31756818.shtml）</w:t>
      </w:r>
    </w:p>
    <w:p>
      <w:pPr>
        <w:spacing w:lineRule="exact" w:line="560" w:before="200" w:after="60"/>
      </w:pPr>
      <w:r>
        <w:rPr>
          <w:rFonts w:ascii="SimHei" w:hAnsi="SimHei"/>
          <w:b/>
          <w:sz w:val="32"/>
        </w:rPr>
        <w:t>抢抓机遇 汇智聚力 助推四川数字文化产业加快发展</w:t>
      </w:r>
    </w:p>
    <w:p>
      <w:pPr>
        <w:spacing w:lineRule="exact" w:line="560" w:before="0" w:after="0"/>
      </w:pPr>
      <w:r>
        <w:rPr>
          <w:rFonts w:ascii="FangSong_GB2312" w:hAnsi="FangSong_GB2312"/>
          <w:sz w:val="32"/>
        </w:rPr>
        <w:t>四川省政协十三届四次会议重点提案《关于推动四川省数字文化产业发展的建议》办理协商会在成都召开，该提案由民进四川省委会提出、省政协主席田向利领衔督办，并将关联提案《关于打造"科普视听+数字文旅"新场景提振新消费的提案》一并纳入办理。会前，田向利带队赴成都实地调研数字技术应用、产品研发、场景运营、业态创新等情况；省政协文化文史和学习委员会会同提案提、办双方前往德阳市和绵阳市，调研文物数字化保护、数字文化产业装备制造等情况。省委、省政府高度重视数字文化产业发展，出台一系列政策举措推动产业呈现良好态势。</w:t>
        <w:br/>
        <w:t>一是坚持内容为王筑牢产业内核。围绕数字文化内容生产与创意设计，推动传统文化资源向数字文化产品转化，强化内容原创力和品牌影响力，构建以优质内容为核心的产业驱动力。</w:t>
        <w:br/>
        <w:t>二是坚持科技为翼夯实产业底座。推动数字技术与文化产业深度融合，以科技赋能提升文化产品生产效率和传播能力，在成都推动数字技术应用与场景运营创新，在德阳推进文物数字化保护，在绵阳推进数字文化产业装备制造。</w:t>
        <w:br/>
        <w:t>三是坚持环境为要优化产业生态。省委宣传部、省教育厅、省科技厅、省财政厅、省商务厅、省文化和旅游厅等部门协同推进提案办理，完善数字文化产业发展的政策体系、投融资机制和人才支撑。</w:t>
        <w:br/>
        <w:t>四是打造"科普视听+数字文旅"新消费场景。将"科普视听+数字文旅"新场景建设与提振新消费紧密结合，探索以科普内容与视听技术融合打造沉浸式文旅体验，用新技术激活文化消费新需求。</w:t>
        <w:br/>
        <w:t>民进四川省委会对提案办理情况表示"满意"。副省长胡云出席并通报我省数字文化产业发展情况，对提案主办、会办单位进一步做好提案办理工作提出要求。</w:t>
      </w:r>
    </w:p>
    <w:p>
      <w:pPr>
        <w:spacing w:lineRule="exact" w:line="560" w:before="60" w:after="200"/>
      </w:pPr>
      <w:r>
        <w:rPr>
          <w:rFonts w:ascii="FangSong_GB2312" w:hAnsi="FangSong_GB2312"/>
          <w:sz w:val="32"/>
        </w:rPr>
        <w:t>（信息来源：四川日报7月1日《抢抓机遇 汇智聚力 助推四川数字文化产业加快发展》  https://epaper.scdaily.cn/shtml/scrb/20260701/1083105.html）</w:t>
      </w:r>
    </w:p>
    <w:p>
      <w:pPr>
        <w:spacing w:lineRule="exact" w:line="560" w:before="200" w:after="60"/>
      </w:pPr>
      <w:r>
        <w:rPr>
          <w:rFonts w:ascii="SimHei" w:hAnsi="SimHei"/>
          <w:b/>
          <w:sz w:val="32"/>
        </w:rPr>
        <w:t>南京为促进人工智能产业发展立法</w:t>
      </w:r>
    </w:p>
    <w:p>
      <w:pPr>
        <w:spacing w:lineRule="exact" w:line="560" w:before="0" w:after="0"/>
      </w:pPr>
      <w:r>
        <w:rPr>
          <w:rFonts w:ascii="FangSong_GB2312" w:hAnsi="FangSong_GB2312"/>
          <w:sz w:val="32"/>
        </w:rPr>
        <w:t>6月29日至30日，南京市人大常委会第二十七次会议首次审议《南京市人工智能产业发展和创新应用促进条例（草案）》。作为全国首个"中国软件名城"、江苏省唯一的国家人工智能创新应用先导区，南京人工智能相关产业规模超3000亿元，已把聚力打造AI之城确立为"十五五"发展目标之一。条例草案地方立法特色鲜明，拟把南京促进产业发展的工作经验和政策措施上升为法规规范。</w:t>
        <w:br/>
        <w:t>一是推动软件企业向智能原生企业转型。引导人工智能与软件和信息服务业深度融合，全面推动软件企业向人工智能服务商、智能体开发商等智能原生企业转型，构建"数据—算法—场景"全链条贯通的产业生态。</w:t>
        <w:br/>
        <w:t>二是建立政府优先采购AI创新产品机制。鼓励政府部门、事业单位通过合作创新采购方式订购、首购以及依法单一来源采购人工智能创新产品，规定有关部门应当探索建立政府投资项目应用人工智能创新产品机制，逐步提高人工智能创新产品在政府投资项目管理和运营中的作用。</w:t>
        <w:br/>
        <w:t>三是建设"车路云一体化"协同场景。明确建设"车路云一体化"协同场景，规范智能网联汽车在交通运输行业运营监管，支持开展自动驾驶商业化运营试点。</w:t>
        <w:br/>
        <w:t>四是建立"一人公司"(OPC)系统性支持制度。鼓励各区根据区域资源禀赋和产业发展需求打造OPC社区，为OPC提供金融、法律、知识产权、技术转移转化、运营推广等一站式集成服务，优化OPC登记、注销、社保和税款缴纳等流程，支持"单人成军"等新型创业模式发展。</w:t>
        <w:br/>
        <w:t>五是探索词元计费的数据价值核算机制。围绕词元计费建立数据定价新模式，健全创业失败帮扶机制，组建市级人工智能伦理审查委员会，将"可信数据建设"作为基础性制度安排，解决企业"不知道哪些数据能用、怎样合规使用"等现实问题。</w:t>
      </w:r>
    </w:p>
    <w:p>
      <w:pPr>
        <w:spacing w:lineRule="exact" w:line="560" w:before="60" w:after="200"/>
      </w:pPr>
      <w:r>
        <w:rPr>
          <w:rFonts w:ascii="FangSong_GB2312" w:hAnsi="FangSong_GB2312"/>
          <w:sz w:val="32"/>
        </w:rPr>
        <w:t>（信息来源：新华日报7月1日《南京为促进人工智能产业发展立法》  https://www.xhby.net/content/s6a43c4cae4b090b4bea22b94.html）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60"/>
    </w:pPr>
    <w:rPr>
      <w:rFonts w:ascii="FangSong_GB2312" w:hAnsi="FangSong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