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80"/>
      </w:pPr>
      <w:r>
        <w:rPr>
          <w:rFonts w:ascii="黑体" w:hAnsi="黑体" w:eastAsia="黑体"/>
          <w:b/>
          <w:sz w:val="32"/>
        </w:rPr>
        <w:t>江宁“基金矩阵”力争三年破千亿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9月23日傍晚，南京市江宁区百家湖畔，“百家宁聚、基业长青”百家湖基金沙龙启幕，来自基金公司、券商、银行、科创金融服务平台及驻区高校、上市企业、专精特新企业的嘉宾齐聚，10只合作基金、28个拟投项目现场签约，为江宁产业发展注入金融活水。沙龙现场，江宁区发布上市企业五大领航行动计划，并同步亮相“江宁创投八条”，以资本赋能产业升级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一是发布上市企业五大领航行动计划，涵盖基金资本赋能、应用场景开放、产学研协同创新、上市培育提质、人才共育建设五个方面，系统支持企业成长。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二是出台“江宁创投八条”，明确实行白名单免尽调跟投、探索实施以赛代评、建立容错免责机制等条款，为资本松绑，引导机构“投早、投小”。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三是发布基金产品、融资需求两张清单，梳理400余家企业融资需求、总规模达225亿元，6家机构获颁“江宁基金大使”，促进供需精准对接。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四是一站式企业综合服务平台“帮宁办”上线新功能“基金超市”，依托政务数据赋能产融对接，实现资金需求线上归集、常态对接；沙龙同步设置“创投品廊”与资企对接开放麦，企业现场路演、投资机构零距离互动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五是持续做强基金矩阵，现有创投母基金、产投母基金、国企母基金、华泰洋河母基金等4只母基金，下设子基金82只、总规模超800亿元，全面覆盖“三智三新、医网空前”主导产业；未来3年力争全区基金规模突破1000亿元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（信息来源：新华日报9月24日《江宁“基金矩阵”力争三年破千亿》  https://xh.xhby.net/pc/con/202609/24/content_1592846.html）</w:t>
      </w:r>
    </w:p>
    <w:p>
      <w:pPr>
        <w:spacing w:line="560" w:lineRule="exact"/>
      </w:pPr>
    </w:p>
    <w:p>
      <w:pPr>
        <w:spacing w:lineRule="exact" w:line="560" w:after="80"/>
      </w:pPr>
      <w:r>
        <w:rPr>
          <w:rFonts w:ascii="黑体" w:hAnsi="黑体" w:eastAsia="黑体"/>
          <w:b/>
          <w:sz w:val="32"/>
        </w:rPr>
        <w:t>扬州广陵新城跨境OPC助力个体创业者零门槛“闯全球”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9月15日晚，扬州市广陵区新就业群体党群服务中心内，跨境电商培训结束后学员仍围住讲师咨询，折射出个体参与跨境电商的旺盛需求。针对传统外贸涉及货源、仓储、物流、运营、财税合规等多环节、对个人创业者门槛较高的问题，盘古集团依托广陵新城推出“跨境+OPC”项目，以资源共享降低创业门槛，让个体借助产业链和数字化工具参与全球贸易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一是整合选品、国际物流、报关、AI工具、创业指导、办公空间等资源，提供“一站式”服务，入驻主体不用自建重资产、即驻即用。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二是首期提供300平方米场地、设置20至30个工位；可先试运营半个月，由园区提供全流程陪跑指导，通过后再正式签约，降低试错成本。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三是建立常态化培训机制，盘古集团专家团队提供“0到1”孵化培训及进阶一对一辅导，联合高校、职业院校共建课程，每月至少1场专题实操培训、每季度1次主题讲座，形成“日常实训+季度提升”赋能体系。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四是分阶段扩大孵化规模，到2030年建成集创业孵化、产教融合、产业协同于一体的全省标杆级跨境超级个体孵化平台，探索形成可复制的“盘古OPC经验”。依托广陵新城跨境电商集聚区，该项目已累计服务对接企业近200家，50多家企业通过跨境电商渠道实现出海，此次进一步向个体创业端延伸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（信息来源：新华日报9月24日《扬州广陵新城跨境OPC助力个体创业者零门槛“闯全球”》  https://xh.xhby.net/pc/con/202609/24/content_1592858.html）</w:t>
      </w:r>
    </w:p>
    <w:p>
      <w:pPr>
        <w:spacing w:line="560" w:lineRule="exact"/>
      </w:pPr>
    </w:p>
    <w:p>
      <w:pPr>
        <w:spacing w:lineRule="exact" w:line="560" w:after="80"/>
      </w:pPr>
      <w:r>
        <w:rPr>
          <w:rFonts w:ascii="黑体" w:hAnsi="黑体" w:eastAsia="黑体"/>
          <w:b/>
          <w:sz w:val="32"/>
        </w:rPr>
        <w:t>“双节”期间全省推出4900多项文旅活动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记者从9月22日省文旅厅召开的新闻发布会上获悉，今年中秋、国庆“双节”期间，全省将联动推出4900多项文旅活动，以艺术展演、文博盛宴、非遗民俗、研学体验、惠民福利为游客奉上“水韵江苏”文旅大餐。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一是开展1770余场群众文化活动，推出300余项非遗主题活动，130多个非遗项目齐聚常州青果巷、淮安河下古镇打造非遗嘉年华与特色市集；23场“茉莉花开·家门口赏好戏”专场演出与乡镇巡演走进城乡。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二是全省营业性演出达1196场，其中5000人以上大型演出44场，周杰伦、华晨宇等歌手演唱会及太湖湾音乐节、紫琅荔枝音乐节重磅上演；2026戏曲百戏（昆山）盛典持续至11月。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三是74家博物馆延长开放时间，集中推出近200个精品展览、1100余场社教研学及夜游夜演活动。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四是推出66条特色研学旅游线路、735项休闲活动；夜间文旅消费集聚区推出61项“双节”主题活动，推动景区、商圈与赛事“第二现场”联动。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五是真金白银惠民让利：全省统筹发放上亿元文旅消费券；省级文旅部门联动携程、同程、途牛等平台投放酒店补贴；盐城、苏州、常州等地加码地方文旅消费券，扬州发放出行券包，南通面向高校新生送专属文旅大礼包；全省175家景区推出各类门票优惠；停车、公交等便民服务同步加码，多地机关企事业单位停车场向游客开放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（信息来源：新华日报9月24日《“双节”期间全省推出4900多项文旅活动》  https://xh.xhby.net/pc/con/202609/24/content_1592735.html）</w:t>
      </w:r>
    </w:p>
    <w:p>
      <w:pPr>
        <w:spacing w:line="560" w:lineRule="exact"/>
      </w:pPr>
    </w:p>
    <w:p>
      <w:pPr>
        <w:spacing w:lineRule="exact" w:line="560" w:after="80"/>
      </w:pPr>
      <w:r>
        <w:rPr>
          <w:rFonts w:ascii="黑体" w:hAnsi="黑体" w:eastAsia="黑体"/>
          <w:b/>
          <w:sz w:val="32"/>
        </w:rPr>
        <w:t>活动管够 安逸管饱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9月23日，《发言人在现场》第三期走进成都市新津南河水上休闲运动中心，以户外发布方式回应各地游客关心的中秋国庆畅游四川话题。中秋国庆假期，四川围绕“马上入川·蜀你好玩”，推出4层自然秋色、5重人文秋色、7种秋趣玩法、42条安逸游线、92处秋色打卡地，铺开596项、4412场文旅活动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一是9月28日启动2026全国国庆文旅消费月四川分会场暨“马上入川·蜀你好玩”第三季文旅消费活动，全省统筹发放超5000万元文旅消费券，联动在线旅游平台推出特惠礼包、景区消费场景让利。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二是推出“暖客计划”：成都西岭雪山景区“码上办”、大熊猫基地“胖达听您说”留言板，宜宾升级“一码游宜宾”平台，广元剑门关设14处志愿服务点。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三是释放公共空间：遂宁向游客开放党政机关5000余个免费停车位及1万余个潮汐免费停车位；泸州凭身份证可免费乘坐主城区117条公交线路。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四是市场秩序保障升级，全省启动旅游市场“雷霆”行动百日攻坚，8个市州签订跨区域执法合作协议，对“黑社”“黑导”“黑购物店”“黑车”四类乱象顶格处罚、闭环整改。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五是赛事联动消费，新津围绕赛艇公开赛推出“1+1+3+N”系列活动，南河两岸设展销区，全区商圈、酒店、餐饮、房产、家电、汽车同步推出优惠促销，以赛事流量转化消费增量。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（信息来源：四川日报9月24日《活动管够 安逸管饱》  https://epaper.scdaily.cn/shtml/scrb/20260924/1090663.html）</w:t>
      </w:r>
    </w:p>
    <w:p>
      <w:pPr>
        <w:spacing w:line="560" w:lineRule="exact"/>
      </w:pPr>
    </w:p>
    <w:p>
      <w:pPr>
        <w:spacing w:lineRule="exact" w:line="560" w:after="80"/>
      </w:pPr>
      <w:r>
        <w:rPr>
          <w:rFonts w:ascii="黑体" w:hAnsi="黑体" w:eastAsia="黑体"/>
          <w:b/>
          <w:sz w:val="32"/>
        </w:rPr>
        <w:t>江苏印发“十五五”农业农村现代化规划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近日，省政府办公厅印发《江苏省“十五五”农业农村现代化规划》，立足省情农情，对今后五年“三农”工作作出系统谋划和战略部署，明确加快农业农村现代化的思路目标、重点任务和政策措施，着力推进农业现代化走在前、高水平建设农业强省。规划强调坚持农业农村优先发展、坚持城乡融合发展，深入学习运用“千万工程”经验，一体推进农业现代化和农村现代化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一是锚定目标，到2030年乡村全面振兴取得显著成效、农业农村现代化取得重大进展，围绕农业农村高质量发展设置16项主要指标，其中粮食综合生产能力为约束性指标、稳定在760亿斤以上。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二是突出7项重点任务，坚持产量产能、生产生态、增产增收一起抓，加快推进优土、优种、优产、优储、优销“五优联动”，强化科技和改革双轮驱动，培育农业新质生产力，以县域为切入点推进城乡融合。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三是部署重大工程和行动，实施耕地质量提升行动、设施农业现代化提升工程、“人工智能+农业”141行动、宜居宜业和美乡村示范建设、“新农人”队伍培育等。</w:t>
      </w:r>
    </w:p>
    <w:p>
      <w:pPr>
        <w:spacing w:lineRule="exact" w:line="560"/>
      </w:pPr>
      <w:r>
        <w:rPr>
          <w:rFonts w:ascii="仿宋_GB2312" w:hAnsi="仿宋_GB2312" w:eastAsia="仿宋_GB2312"/>
          <w:sz w:val="32"/>
        </w:rPr>
        <w:t>四是加强党对“三农”工作的领导，强化乡村振兴统筹推进机制，加强“三农”工作力量，推进农业农村法治建设，统筹发展科技农业、绿色农业、质量农业、品牌农业，持续拓宽农民增收渠道。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（信息来源：新华日报9月24日《江苏印发“十五五”农业农村现代化规划》  https://xh.xhby.net/pc/con/202609/24/content_1592780.html）</w:t>
      </w:r>
    </w:p>
    <w:p>
      <w:pPr>
        <w:spacing w:line="560" w:lineRule="exac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