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媒体信息摘报</w:t>
      </w:r>
    </w:p>
    <w:p>
      <w:pPr>
        <w:spacing w:after="600"/>
        <w:jc w:val="center"/>
      </w:pPr>
      <w:r>
        <w:rPr>
          <w:rFonts w:ascii="FangSong_GB2312" w:cs="FangSong_GB2312" w:eastAsia="FangSong_GB2312" w:hAnsi="FangSong_GB2312"/>
          <w:sz w:val="28"/>
          <w:szCs w:val="28"/>
        </w:rPr>
        <w:t xml:space="preserve">2026年6月9日　星期二</w:t>
      </w:r>
    </w:p>
    <w:p>
      <w:pPr>
        <w:spacing w:after="200" w:before="4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1、“粤车南下”扩至大湾区内地9市</w:t>
      </w:r>
    </w:p>
    <w:p>
      <w:pPr>
        <w:spacing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南方日报6月9日报道，粤港两地政府同意自6月15日起将“粤车南下”政策推广至粤港澳门大湾区全部9个内地城市，新增深圳、佛山、东莞、惠州、肇庆5市，此后逐步扩展至广东全省。一是政策分步推进，6月15日起5个新增城市粤车可使用“易泊飞”服务经港珠澳大桥驶入香港口岸停车场换乘飞机；7月25日起可入境香港市区，每日限额由100辆升至200辆。二是创新跨境出行模式，推出“易泊游”服务供9市粤车主预约停车后步行入境访港，同步开放7月名额抽签共4600个。三是构建双向互联新格局，截至5月底已有约8400个入境市区申请获批，累计预约出行约6700辆次，“易泊飞”服务用户申请逈8600名，香港特区政府表示将持续按确保安全、有效分流、完备配套、简便申请策略推进政策，助力粤港融合发展迈向新台阶。</w:t>
      </w:r>
    </w:p>
    <w:p>
      <w:pPr>
        <w:spacing w:after="200" w:before="100" w:line="560" w:lineRule="exact"/>
        <w:jc w:val="right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——南方日报</w:t>
      </w:r>
    </w:p>
    <w:p>
      <w:pPr>
        <w:spacing w:after="100" w:line="560" w:lineRule="exact"/>
      </w:pPr>
      <w:r>
        <w:rPr>
          <w:rFonts w:ascii="FangSong_GB2312" w:cs="FangSong_GB2312" w:eastAsia="FangSong_GB2312" w:hAnsi="FangSong_GB2312"/>
          <w:color w:val="666666"/>
          <w:sz w:val="20"/>
          <w:szCs w:val="20"/>
        </w:rPr>
        <w:t xml:space="preserve">链接：https://www.chinanews.com.cn/dwq/2026/06-08/10636422.shtml</w:t>
      </w:r>
    </w:p>
    <w:p>
      <w:pPr>
        <w:spacing w:after="200" w:before="4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2、湖南“十五五”制造强省路线图出炉</w:t>
      </w:r>
    </w:p>
    <w:p>
      <w:pPr>
        <w:spacing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湖南日报6月9日报道，湖南省人民政府近日印发《湖南省推进新型工业化和制造强省建设“十五五”规划》，明确未来五年制造业发展路线图。一是锚定硬指标，规模以上制造业增加值年均增速保持6.5%以上，先进制造业占制造业比重提升至54%以上，千亿级企业增至8家、百亿级企业增至65家，国家先进制造业集群达6至7个，数字经济核心产业增加值占GDP比重升至9%。二是分类施策四类产业，改造提升石化、冶金等传统产业，巩固延伸工程机械、轨道交通装备等优势产业，培育壮大新能源汽车、电子信息等新兴产业，前瞻布局人工智能、量子科技等未来产业。三是突出“四个深度融合”，推动科技与产业、实体经济与数字经济、先进制造业与现代服务业双向融合，同时促进军地成果双向转化，打造长株潭先进制造核心增长极，推动“三带四区”错位发展。</w:t>
      </w:r>
    </w:p>
    <w:p>
      <w:pPr>
        <w:spacing w:after="200" w:before="100" w:line="560" w:lineRule="exact"/>
        <w:jc w:val="right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——湖南日报</w:t>
      </w:r>
    </w:p>
    <w:p>
      <w:pPr>
        <w:spacing w:after="100" w:line="560" w:lineRule="exact"/>
      </w:pPr>
      <w:r>
        <w:rPr>
          <w:rFonts w:ascii="FangSong_GB2312" w:cs="FangSong_GB2312" w:eastAsia="FangSong_GB2312" w:hAnsi="FangSong_GB2312"/>
          <w:color w:val="666666"/>
          <w:sz w:val="20"/>
          <w:szCs w:val="20"/>
        </w:rPr>
        <w:t xml:space="preserve">链接：https://hunan.voc.com.cn/news/202606/32858990.html</w:t>
      </w:r>
    </w:p>
    <w:p>
      <w:pPr>
        <w:spacing w:after="200" w:before="4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3、全球海洋现象智能预报大模型“琅琊”2.0发布</w:t>
      </w:r>
    </w:p>
    <w:p>
      <w:pPr>
        <w:spacing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大众日报6月9日报道，中国科学院海洋研究所自主研发的全球海洋现象智能预报大模型——“琅琊”2.0在青岛正式发布，标志着海洋预报迈入复杂海洋现象智能预报新阶段。一是预报能力全面跃升，从1.0版本仅覆盖温度、盐度等基本状态变量，拓展至台风、降水、风暴潮、内孤立波、中尺度涡、海冰6类复杂海洋现象，开发6个垂直模型。二是关键指标显著突破，海冰预报模型分辨率达3公里，内孤立波可预报未来30天演变，风暴潮可对400余个潮位站开展实时预报，海冰模型在2025年国际海冰预测比较计划中全球20多个参赛模型中排名第一。三是技术路径创新，连接多源观测、机理认知和AI推理，兼具预报速度、精度与可交互性，推动海洋预报从专业变量走向可感知、可应用、可决策场景，为海洋防灾减灾、航运安全、极地航道规划提供智能化支撑。</w:t>
      </w:r>
    </w:p>
    <w:p>
      <w:pPr>
        <w:spacing w:after="200" w:before="100" w:line="560" w:lineRule="exact"/>
        <w:jc w:val="right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——大众日报</w:t>
      </w:r>
    </w:p>
    <w:p>
      <w:pPr>
        <w:spacing w:after="100" w:line="560" w:lineRule="exact"/>
      </w:pPr>
      <w:r>
        <w:rPr>
          <w:rFonts w:ascii="FangSong_GB2312" w:cs="FangSong_GB2312" w:eastAsia="FangSong_GB2312" w:hAnsi="FangSong_GB2312"/>
          <w:color w:val="666666"/>
          <w:sz w:val="20"/>
          <w:szCs w:val="20"/>
        </w:rPr>
        <w:t xml:space="preserve">链接：https://www.chinanews.com.cn/sh/2026/06-06/10635523.shtml</w:t>
      </w:r>
    </w:p>
    <w:p>
      <w:pPr>
        <w:spacing w:after="200" w:before="4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4、三峡水运新通道工程开工</w:t>
      </w:r>
    </w:p>
    <w:p>
      <w:pPr>
        <w:spacing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人民网/湖北日报6月9日报道，“十五五”时期首个国家重大标志性工程——三峡水运新通道6月8日在湖北宜昌正式开工，总投资约772亿元。一是工程规模创世界纪录，包含三峡枢纽新通道和葛洲坝航运扩能两部分，土石方开挖1.6亿立方米，混凝土浇筑约1000万立方米，新建双线连续五级船闸可通航万吨级船舶，面临113米通航水头、40米宽闸室、1440吨人字门安装等世界级技术挑战。二是通航能力大幅提升，三峡枢纽年通过能力将从1.74亿吨提升至3.36亿吨，葛洲坝枢纽达3.6亿吨，相当于将长江上游航运“双车道”升级为多车道，万吨级轮船可直达西部。三是生态优先创新建设，为保护中华鲟产卵场调整原方案增加20亿元投资，主动放弃高效爆破改用机械开挖保护水生生物，同步配套建设过鱼设施，迁移工程区3200多棵树木保护城市绿色记忆，预计年均节约运输成本60多亿元。</w:t>
      </w:r>
    </w:p>
    <w:p>
      <w:pPr>
        <w:spacing w:after="200" w:before="100" w:line="560" w:lineRule="exact"/>
        <w:jc w:val="right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——人民网/湖北日报</w:t>
      </w:r>
    </w:p>
    <w:p>
      <w:pPr>
        <w:spacing w:after="100" w:line="560" w:lineRule="exact"/>
      </w:pPr>
      <w:r>
        <w:rPr>
          <w:rFonts w:ascii="FangSong_GB2312" w:cs="FangSong_GB2312" w:eastAsia="FangSong_GB2312" w:hAnsi="FangSong_GB2312"/>
          <w:color w:val="666666"/>
          <w:sz w:val="20"/>
          <w:szCs w:val="20"/>
        </w:rPr>
        <w:t xml:space="preserve">链接：https://finance.sina.com.cn/jjxw/2026-06-08/doc-iniathzh5293526.shtml</w:t>
      </w:r>
    </w:p>
    <w:p>
      <w:pPr>
        <w:spacing w:after="200" w:before="400" w:line="560" w:lineRule="exact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5、世界土壤学大会近百年首次落地中国</w:t>
      </w:r>
    </w:p>
    <w:p>
      <w:pPr>
        <w:spacing w:line="560" w:lineRule="exact"/>
        <w:ind w:firstLine="640"/>
      </w:pPr>
      <w:r>
        <w:rPr>
          <w:rFonts w:ascii="FangSong_GB2312" w:cs="FangSong_GB2312" w:eastAsia="FangSong_GB2312" w:hAnsi="FangSong_GB2312"/>
          <w:sz w:val="32"/>
          <w:szCs w:val="32"/>
        </w:rPr>
        <w:t xml:space="preserve">新华日报6月9日报道，第23届世界土壤学大会在南京举行，这是该大会近百年历史上首次在中国举办，来自全球100多个国家和地区的近3000名土壤科研专家与会。一是议题体系全面拓展，围绕土壤健康、戈壁保护与修复、土壤可持续发展三大核心议题，设置130余场平行论坛、9场专题讨论会、5场互动式工作坊及企业家论坛和世界土壤科学与装备产品博览会。二是中国科研实力获国际认可，从1935年中国学者首次登上国际讲台到2018年成功申办本届大会，南京土壤所建设了“土壤碳中和与气候变化应对试验设施”，地表气候变化模拟平台已投入运行。三是国际协作新路径，澳大利亚科学院院士陈德利指出未来三大赛道为高效新型肥料、AI智慧农业、合成氨与优质育种，联合国粮农组织强调全球超六成农地遭遇退化需多方协同护土，中美、中韩等多方提出常态化互访机制，中国正从“学习者”转变为全球土壤科学的重要“贡献者”与“引领者”。</w:t>
      </w:r>
    </w:p>
    <w:p>
      <w:pPr>
        <w:spacing w:after="200" w:before="100" w:line="560" w:lineRule="exact"/>
        <w:jc w:val="right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——新华日报</w:t>
      </w:r>
    </w:p>
    <w:p>
      <w:pPr>
        <w:spacing w:after="100" w:line="560" w:lineRule="exact"/>
      </w:pPr>
      <w:r>
        <w:rPr>
          <w:rFonts w:ascii="FangSong_GB2312" w:cs="FangSong_GB2312" w:eastAsia="FangSong_GB2312" w:hAnsi="FangSong_GB2312"/>
          <w:color w:val="666666"/>
          <w:sz w:val="20"/>
          <w:szCs w:val="20"/>
        </w:rPr>
        <w:t xml:space="preserve">链接：https://xh.xhby.net/pc/con/202606/09/content_1561929.html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2026-06-09T00:32:08.285Z</dcterms:created>
  <dcterms:modified xsi:type="dcterms:W3CDTF">2026-06-09T00:32:08.292Z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